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61EBB">
      <w:pPr>
        <w:spacing w:line="360" w:lineRule="auto"/>
        <w:ind w:left="-94" w:leftChars="-45" w:right="-334" w:rightChars="-159"/>
        <w:jc w:val="left"/>
        <w:rPr>
          <w:b/>
          <w:bCs/>
          <w:sz w:val="32"/>
          <w:szCs w:val="32"/>
        </w:rPr>
      </w:pPr>
      <w:bookmarkStart w:id="0" w:name="_Hlk21261980"/>
      <w:bookmarkEnd w:id="0"/>
      <w:r>
        <w:rPr>
          <w:b/>
          <w:bCs/>
          <w:sz w:val="32"/>
          <w:szCs w:val="32"/>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1882775</wp:posOffset>
                </wp:positionV>
                <wp:extent cx="6212205" cy="0"/>
                <wp:effectExtent l="0" t="19050" r="55880" b="38100"/>
                <wp:wrapNone/>
                <wp:docPr id="24" name="直线 5"/>
                <wp:cNvGraphicFramePr/>
                <a:graphic xmlns:a="http://schemas.openxmlformats.org/drawingml/2006/main">
                  <a:graphicData uri="http://schemas.microsoft.com/office/word/2010/wordprocessingShape">
                    <wps:wsp>
                      <wps:cNvCnPr>
                        <a:cxnSpLocks noChangeShapeType="1"/>
                      </wps:cNvCnPr>
                      <wps:spPr bwMode="auto">
                        <a:xfrm>
                          <a:off x="0" y="0"/>
                          <a:ext cx="6212020" cy="0"/>
                        </a:xfrm>
                        <a:prstGeom prst="line">
                          <a:avLst/>
                        </a:prstGeom>
                        <a:noFill/>
                        <a:ln w="57150" cmpd="thickThin">
                          <a:solidFill>
                            <a:srgbClr val="000000"/>
                          </a:solidFill>
                          <a:round/>
                        </a:ln>
                      </wps:spPr>
                      <wps:bodyPr/>
                    </wps:wsp>
                  </a:graphicData>
                </a:graphic>
              </wp:anchor>
            </w:drawing>
          </mc:Choice>
          <mc:Fallback>
            <w:pict>
              <v:line id="直线 5" o:spid="_x0000_s1026" o:spt="20" style="position:absolute;left:0pt;margin-left:-8.9pt;margin-top:148.25pt;height:0pt;width:489.15pt;z-index:251662336;mso-width-relative:page;mso-height-relative:page;" filled="f" stroked="t" coordsize="21600,21600" o:gfxdata="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2Jj/9YAAAALAQAA&#10;DwAAAAAAAAABACAAAAAiAAAAZHJzL2Rvd25yZXYueG1sUEsBAhQAFAAAAAgAh07iQBx5xE3iAQAA&#10;tAMAAA4AAAAAAAAAAQAgAAAAJQEAAGRycy9lMm9Eb2MueG1sUEsFBgAAAAAGAAYAWQEAAHkFAAAA&#10;AA==&#10;">
                <v:fill on="f" focussize="0,0"/>
                <v:stroke weight="4.5pt" color="#000000" linestyle="thickThin" joinstyle="round"/>
                <v:imagedata o:title=""/>
                <o:lock v:ext="edit" aspectratio="f"/>
              </v:line>
            </w:pict>
          </mc:Fallback>
        </mc:AlternateContent>
      </w:r>
      <w:r>
        <w:rPr>
          <w:b/>
          <w:bCs/>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99060</wp:posOffset>
            </wp:positionV>
            <wp:extent cx="1257300" cy="1257300"/>
            <wp:effectExtent l="0" t="0" r="0" b="0"/>
            <wp:wrapTopAndBottom/>
            <wp:docPr id="2" name="图片 2" descr="徽标（白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徽标（白边）"/>
                    <pic:cNvPicPr>
                      <a:picLocks noChangeAspect="1" noChangeArrowheads="1"/>
                    </pic:cNvPicPr>
                  </pic:nvPicPr>
                  <pic:blipFill>
                    <a:blip r:embed="rId5" cstate="print"/>
                    <a:srcRect/>
                    <a:stretch>
                      <a:fillRect/>
                    </a:stretch>
                  </pic:blipFill>
                  <pic:spPr>
                    <a:xfrm>
                      <a:off x="0" y="0"/>
                      <a:ext cx="1257300" cy="1257300"/>
                    </a:xfrm>
                    <a:prstGeom prst="rect">
                      <a:avLst/>
                    </a:prstGeom>
                    <a:noFill/>
                    <a:ln w="9525">
                      <a:noFill/>
                      <a:miter lim="800000"/>
                      <a:headEnd/>
                      <a:tailEnd/>
                    </a:ln>
                  </pic:spPr>
                </pic:pic>
              </a:graphicData>
            </a:graphic>
          </wp:anchor>
        </w:drawing>
      </w:r>
      <w:r>
        <w:rPr>
          <w:b/>
          <w:bCs/>
          <w:sz w:val="32"/>
          <w:szCs w:val="32"/>
        </w:rPr>
        <w:drawing>
          <wp:anchor distT="0" distB="0" distL="114300" distR="114300" simplePos="0" relativeHeight="251660288" behindDoc="0" locked="0" layoutInCell="1" allowOverlap="1">
            <wp:simplePos x="0" y="0"/>
            <wp:positionH relativeFrom="column">
              <wp:posOffset>1714500</wp:posOffset>
            </wp:positionH>
            <wp:positionV relativeFrom="paragraph">
              <wp:posOffset>693420</wp:posOffset>
            </wp:positionV>
            <wp:extent cx="3200400" cy="805180"/>
            <wp:effectExtent l="0" t="0" r="0" b="0"/>
            <wp:wrapTopAndBottom/>
            <wp:docPr id="3" name="图片 3" descr="信息简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信息简报"/>
                    <pic:cNvPicPr>
                      <a:picLocks noChangeAspect="1" noChangeArrowheads="1"/>
                    </pic:cNvPicPr>
                  </pic:nvPicPr>
                  <pic:blipFill>
                    <a:blip r:embed="rId6" cstate="print"/>
                    <a:srcRect l="11453" t="15935" r="17537" b="12360"/>
                    <a:stretch>
                      <a:fillRect/>
                    </a:stretch>
                  </pic:blipFill>
                  <pic:spPr>
                    <a:xfrm>
                      <a:off x="0" y="0"/>
                      <a:ext cx="3200400" cy="805180"/>
                    </a:xfrm>
                    <a:prstGeom prst="rect">
                      <a:avLst/>
                    </a:prstGeom>
                    <a:noFill/>
                    <a:ln w="9525">
                      <a:noFill/>
                      <a:miter lim="800000"/>
                      <a:headEnd/>
                      <a:tailEnd/>
                    </a:ln>
                  </pic:spPr>
                </pic:pic>
              </a:graphicData>
            </a:graphic>
          </wp:anchor>
        </w:drawing>
      </w:r>
      <w:r>
        <w:rPr>
          <w:b/>
          <w:bCs/>
          <w:sz w:val="32"/>
          <w:szCs w:val="32"/>
        </w:rPr>
        <w:drawing>
          <wp:anchor distT="0" distB="0" distL="114300" distR="114300" simplePos="0" relativeHeight="251661312" behindDoc="0" locked="0" layoutInCell="1" allowOverlap="1">
            <wp:simplePos x="0" y="0"/>
            <wp:positionH relativeFrom="column">
              <wp:posOffset>914400</wp:posOffset>
            </wp:positionH>
            <wp:positionV relativeFrom="paragraph">
              <wp:posOffset>0</wp:posOffset>
            </wp:positionV>
            <wp:extent cx="5029200" cy="783590"/>
            <wp:effectExtent l="0" t="0" r="0" b="0"/>
            <wp:wrapNone/>
            <wp:docPr id="4" name="图片 4" descr="福建省水产饲料研究会 - 刘中一题—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福建省水产饲料研究会 - 刘中一题—红色"/>
                    <pic:cNvPicPr>
                      <a:picLocks noChangeAspect="1" noChangeArrowheads="1"/>
                    </pic:cNvPicPr>
                  </pic:nvPicPr>
                  <pic:blipFill>
                    <a:blip r:embed="rId7" cstate="print"/>
                    <a:srcRect/>
                    <a:stretch>
                      <a:fillRect/>
                    </a:stretch>
                  </pic:blipFill>
                  <pic:spPr>
                    <a:xfrm>
                      <a:off x="0" y="0"/>
                      <a:ext cx="5029200" cy="783590"/>
                    </a:xfrm>
                    <a:prstGeom prst="rect">
                      <a:avLst/>
                    </a:prstGeom>
                    <a:noFill/>
                    <a:ln w="9525">
                      <a:noFill/>
                      <a:miter lim="800000"/>
                      <a:headEnd/>
                      <a:tailEnd/>
                    </a:ln>
                  </pic:spPr>
                </pic:pic>
              </a:graphicData>
            </a:graphic>
          </wp:anchor>
        </w:drawing>
      </w:r>
      <w:r>
        <w:rPr>
          <w:b/>
          <w:bCs/>
          <w:sz w:val="32"/>
          <w:szCs w:val="32"/>
        </w:rPr>
        <w:t>51350000B20881845C</w:t>
      </w:r>
      <w:r>
        <w:rPr>
          <w:rFonts w:hint="eastAsia"/>
          <w:b/>
          <w:bCs/>
          <w:sz w:val="32"/>
          <w:szCs w:val="32"/>
        </w:rPr>
        <w:t xml:space="preserve">   </w:t>
      </w:r>
      <w:r>
        <w:rPr>
          <w:b/>
          <w:bCs/>
          <w:sz w:val="32"/>
          <w:szCs w:val="32"/>
        </w:rPr>
        <w:t>第</w:t>
      </w:r>
      <w:r>
        <w:rPr>
          <w:rFonts w:hint="eastAsia"/>
          <w:b/>
          <w:bCs/>
          <w:sz w:val="32"/>
          <w:szCs w:val="32"/>
        </w:rPr>
        <w:t>16</w:t>
      </w:r>
      <w:r>
        <w:rPr>
          <w:b/>
          <w:bCs/>
          <w:sz w:val="32"/>
          <w:szCs w:val="32"/>
        </w:rPr>
        <w:t>期  (总第</w:t>
      </w:r>
      <w:r>
        <w:rPr>
          <w:rFonts w:hint="eastAsia"/>
          <w:b/>
          <w:bCs/>
          <w:sz w:val="32"/>
          <w:szCs w:val="32"/>
        </w:rPr>
        <w:t>455</w:t>
      </w:r>
      <w:r>
        <w:rPr>
          <w:b/>
          <w:bCs/>
          <w:sz w:val="32"/>
          <w:szCs w:val="32"/>
        </w:rPr>
        <w:t>期)</w:t>
      </w:r>
      <w:r>
        <w:rPr>
          <w:rFonts w:hint="eastAsia"/>
          <w:b/>
          <w:bCs/>
          <w:sz w:val="32"/>
          <w:szCs w:val="32"/>
        </w:rPr>
        <w:t xml:space="preserve">   </w:t>
      </w:r>
      <w:r>
        <w:rPr>
          <w:b/>
          <w:bCs/>
          <w:sz w:val="32"/>
          <w:szCs w:val="32"/>
        </w:rPr>
        <w:t>202</w:t>
      </w:r>
      <w:r>
        <w:rPr>
          <w:rFonts w:hint="eastAsia"/>
          <w:b/>
          <w:bCs/>
          <w:sz w:val="32"/>
          <w:szCs w:val="32"/>
        </w:rPr>
        <w:t>6</w:t>
      </w:r>
      <w:r>
        <w:rPr>
          <w:b/>
          <w:bCs/>
          <w:sz w:val="32"/>
          <w:szCs w:val="32"/>
        </w:rPr>
        <w:t>年</w:t>
      </w:r>
      <w:r>
        <w:rPr>
          <w:rFonts w:hint="eastAsia"/>
          <w:b/>
          <w:bCs/>
          <w:sz w:val="32"/>
          <w:szCs w:val="32"/>
          <w:lang w:val="en-US" w:eastAsia="zh-CN"/>
        </w:rPr>
        <w:t>9</w:t>
      </w:r>
      <w:r>
        <w:rPr>
          <w:b/>
          <w:bCs/>
          <w:sz w:val="32"/>
          <w:szCs w:val="32"/>
        </w:rPr>
        <w:t>月</w:t>
      </w:r>
      <w:r>
        <w:rPr>
          <w:rFonts w:hint="eastAsia"/>
          <w:b/>
          <w:bCs/>
          <w:sz w:val="32"/>
          <w:szCs w:val="32"/>
          <w:lang w:val="en-US" w:eastAsia="zh-CN"/>
        </w:rPr>
        <w:t>1</w:t>
      </w:r>
      <w:r>
        <w:rPr>
          <w:b/>
          <w:bCs/>
          <w:sz w:val="32"/>
          <w:szCs w:val="32"/>
        </w:rPr>
        <w:t>日</w:t>
      </w:r>
    </w:p>
    <w:sdt>
      <w:sdtPr>
        <w:rPr>
          <w:rFonts w:ascii="Times New Roman" w:hAnsi="Times New Roman" w:eastAsia="宋体" w:cs="Times New Roman"/>
          <w:color w:val="auto"/>
          <w:kern w:val="2"/>
          <w:sz w:val="21"/>
          <w:szCs w:val="24"/>
          <w:lang w:val="zh-CN"/>
        </w:rPr>
        <w:id w:val="336666750"/>
        <w:docPartObj>
          <w:docPartGallery w:val="Table of Contents"/>
          <w:docPartUnique/>
        </w:docPartObj>
      </w:sdtPr>
      <w:sdtEndPr>
        <w:rPr>
          <w:rFonts w:ascii="Times New Roman" w:hAnsi="Times New Roman" w:eastAsia="宋体" w:cs="Times New Roman"/>
          <w:color w:val="auto"/>
          <w:kern w:val="2"/>
          <w:sz w:val="21"/>
          <w:szCs w:val="24"/>
          <w:lang w:val="zh-CN"/>
        </w:rPr>
      </w:sdtEndPr>
      <w:sdtContent>
        <w:p w14:paraId="1955BBCF">
          <w:pPr>
            <w:pStyle w:val="202"/>
            <w:jc w:val="center"/>
            <w:rPr>
              <w:rFonts w:hint="eastAsia" w:ascii="黑体" w:hAnsi="黑体" w:eastAsia="黑体"/>
              <w:b/>
              <w:bCs/>
              <w:color w:val="auto"/>
            </w:rPr>
          </w:pPr>
          <w:bookmarkStart w:id="1" w:name="_Hlk95645129"/>
          <w:r>
            <w:rPr>
              <w:rFonts w:ascii="黑体" w:hAnsi="黑体" w:eastAsia="黑体"/>
              <w:b/>
              <w:bCs/>
              <w:color w:val="auto"/>
              <w:lang w:val="zh-CN"/>
            </w:rPr>
            <w:t>目录</w:t>
          </w:r>
        </w:p>
        <w:p w14:paraId="2EEEF789">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TOC \o "1-3" \h \z \u </w:instrText>
          </w:r>
          <w:r>
            <w:fldChar w:fldCharType="separate"/>
          </w:r>
          <w:r>
            <w:fldChar w:fldCharType="begin"/>
          </w:r>
          <w:r>
            <w:instrText xml:space="preserve"> HYPERLINK \l "_Toc239087983" </w:instrText>
          </w:r>
          <w:r>
            <w:fldChar w:fldCharType="separate"/>
          </w:r>
          <w:r>
            <w:rPr>
              <w:rStyle w:val="24"/>
              <w:rFonts w:hint="eastAsia" w:eastAsia="黑体"/>
              <w:b/>
              <w:bCs/>
              <w:bdr w:val="single" w:color="auto" w:sz="4" w:space="0"/>
            </w:rPr>
            <w:t>重要资讯</w:t>
          </w:r>
          <w:r>
            <w:rPr>
              <w:rFonts w:hint="eastAsia"/>
            </w:rPr>
            <w:tab/>
          </w:r>
          <w:r>
            <w:rPr>
              <w:rFonts w:hint="eastAsia"/>
            </w:rPr>
            <w:fldChar w:fldCharType="begin"/>
          </w:r>
          <w:r>
            <w:rPr>
              <w:rFonts w:hint="eastAsia"/>
            </w:rPr>
            <w:instrText xml:space="preserve"> </w:instrText>
          </w:r>
          <w:r>
            <w:instrText xml:space="preserve">PAGEREF _Toc239087983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09AFFD7">
          <w:pPr>
            <w:pStyle w:val="15"/>
            <w:rPr>
              <w:rFonts w:asciiTheme="minorHAnsi" w:hAnsiTheme="minorHAnsi" w:eastAsiaTheme="minorEastAsia" w:cstheme="minorBidi"/>
              <w:sz w:val="22"/>
              <w14:ligatures w14:val="standardContextual"/>
            </w:rPr>
          </w:pPr>
          <w:r>
            <w:fldChar w:fldCharType="begin"/>
          </w:r>
          <w:r>
            <w:instrText xml:space="preserve"> HYPERLINK \l "_Toc239087984" </w:instrText>
          </w:r>
          <w:r>
            <w:fldChar w:fldCharType="separate"/>
          </w:r>
          <w:r>
            <w:rPr>
              <w:rStyle w:val="24"/>
              <w:rFonts w:hint="eastAsia"/>
              <w:b/>
              <w:bCs/>
            </w:rPr>
            <w:t>南海海域和东海部分海域开渔</w:t>
          </w:r>
          <w:r>
            <w:rPr>
              <w:rFonts w:hint="eastAsia"/>
            </w:rPr>
            <w:tab/>
          </w:r>
          <w:r>
            <w:rPr>
              <w:rFonts w:hint="eastAsia"/>
            </w:rPr>
            <w:fldChar w:fldCharType="begin"/>
          </w:r>
          <w:r>
            <w:rPr>
              <w:rFonts w:hint="eastAsia"/>
            </w:rPr>
            <w:instrText xml:space="preserve"> </w:instrText>
          </w:r>
          <w:r>
            <w:instrText xml:space="preserve">PAGEREF _Toc239087984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5559000">
          <w:pPr>
            <w:pStyle w:val="15"/>
            <w:rPr>
              <w:rFonts w:asciiTheme="minorHAnsi" w:hAnsiTheme="minorHAnsi" w:eastAsiaTheme="minorEastAsia" w:cstheme="minorBidi"/>
              <w:sz w:val="22"/>
              <w14:ligatures w14:val="standardContextual"/>
            </w:rPr>
          </w:pPr>
          <w:r>
            <w:fldChar w:fldCharType="begin"/>
          </w:r>
          <w:r>
            <w:instrText xml:space="preserve"> HYPERLINK \l "_Toc239087985" </w:instrText>
          </w:r>
          <w:r>
            <w:fldChar w:fldCharType="separate"/>
          </w:r>
          <w:r>
            <w:rPr>
              <w:rStyle w:val="24"/>
              <w:rFonts w:hint="eastAsia"/>
              <w:b/>
              <w:bCs/>
            </w:rPr>
            <w:t>农业农村部渔政保障中心公开征集2027年渔船国家和行业标准及国家标准化指导性技术文件项目建议</w:t>
          </w:r>
          <w:r>
            <w:rPr>
              <w:rFonts w:hint="eastAsia"/>
            </w:rPr>
            <w:tab/>
          </w:r>
          <w:r>
            <w:rPr>
              <w:rFonts w:hint="eastAsia"/>
            </w:rPr>
            <w:fldChar w:fldCharType="begin"/>
          </w:r>
          <w:r>
            <w:rPr>
              <w:rFonts w:hint="eastAsia"/>
            </w:rPr>
            <w:instrText xml:space="preserve"> </w:instrText>
          </w:r>
          <w:r>
            <w:instrText xml:space="preserve">PAGEREF _Toc239087985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E825957">
          <w:pPr>
            <w:pStyle w:val="15"/>
            <w:rPr>
              <w:rFonts w:asciiTheme="minorHAnsi" w:hAnsiTheme="minorHAnsi" w:eastAsiaTheme="minorEastAsia" w:cstheme="minorBidi"/>
              <w:sz w:val="22"/>
              <w14:ligatures w14:val="standardContextual"/>
            </w:rPr>
          </w:pPr>
          <w:r>
            <w:fldChar w:fldCharType="begin"/>
          </w:r>
          <w:r>
            <w:instrText xml:space="preserve"> HYPERLINK \l "_Toc239087986" </w:instrText>
          </w:r>
          <w:r>
            <w:fldChar w:fldCharType="separate"/>
          </w:r>
          <w:r>
            <w:rPr>
              <w:rStyle w:val="24"/>
              <w:rFonts w:hint="eastAsia"/>
              <w:b/>
              <w:bCs/>
            </w:rPr>
            <w:t>“十四五” 中国稻渔综合种养产业发展报告</w:t>
          </w:r>
          <w:r>
            <w:rPr>
              <w:rFonts w:hint="eastAsia"/>
            </w:rPr>
            <w:tab/>
          </w:r>
          <w:r>
            <w:rPr>
              <w:rFonts w:hint="eastAsia"/>
            </w:rPr>
            <w:fldChar w:fldCharType="begin"/>
          </w:r>
          <w:r>
            <w:rPr>
              <w:rFonts w:hint="eastAsia"/>
            </w:rPr>
            <w:instrText xml:space="preserve"> </w:instrText>
          </w:r>
          <w:r>
            <w:instrText xml:space="preserve">PAGEREF _Toc239087986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9AA5CDD">
          <w:pPr>
            <w:pStyle w:val="15"/>
            <w:rPr>
              <w:rFonts w:asciiTheme="minorHAnsi" w:hAnsiTheme="minorHAnsi" w:eastAsiaTheme="minorEastAsia" w:cstheme="minorBidi"/>
              <w:sz w:val="22"/>
              <w14:ligatures w14:val="standardContextual"/>
            </w:rPr>
          </w:pPr>
          <w:r>
            <w:fldChar w:fldCharType="begin"/>
          </w:r>
          <w:r>
            <w:instrText xml:space="preserve"> HYPERLINK \l "_Toc239087987" </w:instrText>
          </w:r>
          <w:r>
            <w:fldChar w:fldCharType="separate"/>
          </w:r>
          <w:r>
            <w:rPr>
              <w:rStyle w:val="24"/>
              <w:rFonts w:hint="eastAsia"/>
              <w:b/>
              <w:bCs/>
            </w:rPr>
            <w:t>2026年9月全国水产养殖病害预测预报</w:t>
          </w:r>
          <w:r>
            <w:rPr>
              <w:rFonts w:hint="eastAsia"/>
            </w:rPr>
            <w:tab/>
          </w:r>
          <w:r>
            <w:rPr>
              <w:rFonts w:hint="eastAsia"/>
            </w:rPr>
            <w:fldChar w:fldCharType="begin"/>
          </w:r>
          <w:r>
            <w:rPr>
              <w:rFonts w:hint="eastAsia"/>
            </w:rPr>
            <w:instrText xml:space="preserve"> </w:instrText>
          </w:r>
          <w:r>
            <w:instrText xml:space="preserve">PAGEREF _Toc239087987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37B9404F">
          <w:pPr>
            <w:pStyle w:val="15"/>
            <w:rPr>
              <w:rFonts w:asciiTheme="minorHAnsi" w:hAnsiTheme="minorHAnsi" w:eastAsiaTheme="minorEastAsia" w:cstheme="minorBidi"/>
              <w:sz w:val="22"/>
              <w14:ligatures w14:val="standardContextual"/>
            </w:rPr>
          </w:pPr>
          <w:r>
            <w:fldChar w:fldCharType="begin"/>
          </w:r>
          <w:r>
            <w:instrText xml:space="preserve"> HYPERLINK \l "_Toc239087988" </w:instrText>
          </w:r>
          <w:r>
            <w:fldChar w:fldCharType="separate"/>
          </w:r>
          <w:r>
            <w:rPr>
              <w:rStyle w:val="24"/>
              <w:rFonts w:hint="eastAsia"/>
              <w:b/>
              <w:bCs/>
            </w:rPr>
            <w:t>1—7月水产品产量3737.79万吨</w:t>
          </w:r>
          <w:r>
            <w:rPr>
              <w:rFonts w:hint="eastAsia"/>
            </w:rPr>
            <w:tab/>
          </w:r>
          <w:r>
            <w:rPr>
              <w:rFonts w:hint="eastAsia"/>
            </w:rPr>
            <w:fldChar w:fldCharType="begin"/>
          </w:r>
          <w:r>
            <w:rPr>
              <w:rFonts w:hint="eastAsia"/>
            </w:rPr>
            <w:instrText xml:space="preserve"> </w:instrText>
          </w:r>
          <w:r>
            <w:instrText xml:space="preserve">PAGEREF _Toc239087988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58E4EF1D">
          <w:pPr>
            <w:pStyle w:val="15"/>
            <w:rPr>
              <w:rFonts w:asciiTheme="minorHAnsi" w:hAnsiTheme="minorHAnsi" w:eastAsiaTheme="minorEastAsia" w:cstheme="minorBidi"/>
              <w:sz w:val="22"/>
              <w14:ligatures w14:val="standardContextual"/>
            </w:rPr>
          </w:pPr>
          <w:r>
            <w:fldChar w:fldCharType="begin"/>
          </w:r>
          <w:r>
            <w:instrText xml:space="preserve"> HYPERLINK \l "_Toc239087989" </w:instrText>
          </w:r>
          <w:r>
            <w:fldChar w:fldCharType="separate"/>
          </w:r>
          <w:r>
            <w:rPr>
              <w:rStyle w:val="24"/>
              <w:rFonts w:hint="eastAsia"/>
              <w:b/>
              <w:bCs/>
            </w:rPr>
            <w:t>《水产新品系评价技术规范》行业标准发布</w:t>
          </w:r>
          <w:r>
            <w:rPr>
              <w:rFonts w:hint="eastAsia"/>
            </w:rPr>
            <w:tab/>
          </w:r>
          <w:r>
            <w:rPr>
              <w:rFonts w:hint="eastAsia"/>
            </w:rPr>
            <w:fldChar w:fldCharType="begin"/>
          </w:r>
          <w:r>
            <w:rPr>
              <w:rFonts w:hint="eastAsia"/>
            </w:rPr>
            <w:instrText xml:space="preserve"> </w:instrText>
          </w:r>
          <w:r>
            <w:instrText xml:space="preserve">PAGEREF _Toc239087989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61B61243">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HYPERLINK \l "_Toc239087990" </w:instrText>
          </w:r>
          <w:r>
            <w:fldChar w:fldCharType="separate"/>
          </w:r>
          <w:r>
            <w:rPr>
              <w:rStyle w:val="24"/>
              <w:rFonts w:hint="eastAsia" w:eastAsia="黑体"/>
              <w:b/>
              <w:bCs/>
              <w:bdr w:val="single" w:color="auto" w:sz="4" w:space="0"/>
            </w:rPr>
            <w:t>行业资讯</w:t>
          </w:r>
          <w:r>
            <w:rPr>
              <w:rFonts w:hint="eastAsia"/>
            </w:rPr>
            <w:tab/>
          </w:r>
          <w:r>
            <w:rPr>
              <w:rFonts w:hint="eastAsia"/>
            </w:rPr>
            <w:fldChar w:fldCharType="begin"/>
          </w:r>
          <w:r>
            <w:rPr>
              <w:rFonts w:hint="eastAsia"/>
            </w:rPr>
            <w:instrText xml:space="preserve"> </w:instrText>
          </w:r>
          <w:r>
            <w:instrText xml:space="preserve">PAGEREF _Toc239087990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20E76F4E">
          <w:pPr>
            <w:pStyle w:val="15"/>
            <w:rPr>
              <w:rFonts w:asciiTheme="minorHAnsi" w:hAnsiTheme="minorHAnsi" w:eastAsiaTheme="minorEastAsia" w:cstheme="minorBidi"/>
              <w:sz w:val="22"/>
              <w14:ligatures w14:val="standardContextual"/>
            </w:rPr>
          </w:pPr>
          <w:r>
            <w:fldChar w:fldCharType="begin"/>
          </w:r>
          <w:r>
            <w:instrText xml:space="preserve"> HYPERLINK \l "_Toc239087991" </w:instrText>
          </w:r>
          <w:r>
            <w:fldChar w:fldCharType="separate"/>
          </w:r>
          <w:r>
            <w:rPr>
              <w:rStyle w:val="24"/>
              <w:rFonts w:hint="eastAsia"/>
              <w:b/>
              <w:bCs/>
            </w:rPr>
            <w:t>媒体聚焦｜新渔光曲 闽东大黄鱼游出大产业</w:t>
          </w:r>
          <w:r>
            <w:rPr>
              <w:rFonts w:hint="eastAsia"/>
            </w:rPr>
            <w:tab/>
          </w:r>
          <w:r>
            <w:rPr>
              <w:rFonts w:hint="eastAsia"/>
            </w:rPr>
            <w:fldChar w:fldCharType="begin"/>
          </w:r>
          <w:r>
            <w:rPr>
              <w:rFonts w:hint="eastAsia"/>
            </w:rPr>
            <w:instrText xml:space="preserve"> </w:instrText>
          </w:r>
          <w:r>
            <w:instrText xml:space="preserve">PAGEREF _Toc239087991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69A5CA71">
          <w:pPr>
            <w:pStyle w:val="15"/>
            <w:rPr>
              <w:rFonts w:asciiTheme="minorHAnsi" w:hAnsiTheme="minorHAnsi" w:eastAsiaTheme="minorEastAsia" w:cstheme="minorBidi"/>
              <w:sz w:val="22"/>
              <w14:ligatures w14:val="standardContextual"/>
            </w:rPr>
          </w:pPr>
          <w:r>
            <w:fldChar w:fldCharType="begin"/>
          </w:r>
          <w:r>
            <w:instrText xml:space="preserve"> HYPERLINK \l "_Toc239087992" </w:instrText>
          </w:r>
          <w:r>
            <w:fldChar w:fldCharType="separate"/>
          </w:r>
          <w:r>
            <w:rPr>
              <w:rStyle w:val="24"/>
              <w:rFonts w:hint="eastAsia"/>
              <w:b/>
              <w:bCs/>
            </w:rPr>
            <w:t>2026年中山公园 “鱼跃中山” 金鱼文化节盛装启幕</w:t>
          </w:r>
          <w:r>
            <w:rPr>
              <w:rFonts w:hint="eastAsia"/>
            </w:rPr>
            <w:tab/>
          </w:r>
          <w:r>
            <w:rPr>
              <w:rFonts w:hint="eastAsia"/>
            </w:rPr>
            <w:fldChar w:fldCharType="begin"/>
          </w:r>
          <w:r>
            <w:rPr>
              <w:rFonts w:hint="eastAsia"/>
            </w:rPr>
            <w:instrText xml:space="preserve"> </w:instrText>
          </w:r>
          <w:r>
            <w:instrText xml:space="preserve">PAGEREF _Toc239087992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1854395B">
          <w:pPr>
            <w:pStyle w:val="15"/>
            <w:rPr>
              <w:rFonts w:asciiTheme="minorHAnsi" w:hAnsiTheme="minorHAnsi" w:eastAsiaTheme="minorEastAsia" w:cstheme="minorBidi"/>
              <w:sz w:val="22"/>
              <w14:ligatures w14:val="standardContextual"/>
            </w:rPr>
          </w:pPr>
          <w:r>
            <w:fldChar w:fldCharType="begin"/>
          </w:r>
          <w:r>
            <w:instrText xml:space="preserve"> HYPERLINK \l "_Toc239087993" </w:instrText>
          </w:r>
          <w:r>
            <w:fldChar w:fldCharType="separate"/>
          </w:r>
          <w:r>
            <w:rPr>
              <w:rStyle w:val="24"/>
              <w:rFonts w:hint="eastAsia"/>
              <w:b/>
              <w:bCs/>
            </w:rPr>
            <w:t>江苏太湖：构建非法捕捞生态环境损害赔偿追责跨省协作机制</w:t>
          </w:r>
          <w:r>
            <w:rPr>
              <w:rFonts w:hint="eastAsia"/>
            </w:rPr>
            <w:tab/>
          </w:r>
          <w:r>
            <w:rPr>
              <w:rFonts w:hint="eastAsia"/>
            </w:rPr>
            <w:fldChar w:fldCharType="begin"/>
          </w:r>
          <w:r>
            <w:rPr>
              <w:rFonts w:hint="eastAsia"/>
            </w:rPr>
            <w:instrText xml:space="preserve"> </w:instrText>
          </w:r>
          <w:r>
            <w:instrText xml:space="preserve">PAGEREF _Toc239087993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7229058A">
          <w:pPr>
            <w:pStyle w:val="15"/>
            <w:rPr>
              <w:rFonts w:asciiTheme="minorHAnsi" w:hAnsiTheme="minorHAnsi" w:eastAsiaTheme="minorEastAsia" w:cstheme="minorBidi"/>
              <w:sz w:val="22"/>
              <w14:ligatures w14:val="standardContextual"/>
            </w:rPr>
          </w:pPr>
          <w:r>
            <w:fldChar w:fldCharType="begin"/>
          </w:r>
          <w:r>
            <w:instrText xml:space="preserve"> HYPERLINK \l "_Toc239087994" </w:instrText>
          </w:r>
          <w:r>
            <w:fldChar w:fldCharType="separate"/>
          </w:r>
          <w:r>
            <w:rPr>
              <w:rStyle w:val="24"/>
              <w:rFonts w:hint="eastAsia"/>
              <w:b/>
              <w:bCs/>
            </w:rPr>
            <w:t>福建省海洋与渔业局“海纳百川”大讲堂开讲海洋生物多样性的养护和可持续利用</w:t>
          </w:r>
          <w:r>
            <w:rPr>
              <w:rFonts w:hint="eastAsia"/>
            </w:rPr>
            <w:tab/>
          </w:r>
          <w:r>
            <w:rPr>
              <w:rFonts w:hint="eastAsia"/>
            </w:rPr>
            <w:fldChar w:fldCharType="begin"/>
          </w:r>
          <w:r>
            <w:rPr>
              <w:rFonts w:hint="eastAsia"/>
            </w:rPr>
            <w:instrText xml:space="preserve"> </w:instrText>
          </w:r>
          <w:r>
            <w:instrText xml:space="preserve">PAGEREF _Toc239087994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2AC662CA">
          <w:pPr>
            <w:pStyle w:val="15"/>
            <w:rPr>
              <w:rFonts w:asciiTheme="minorHAnsi" w:hAnsiTheme="minorHAnsi" w:eastAsiaTheme="minorEastAsia" w:cstheme="minorBidi"/>
              <w:sz w:val="22"/>
              <w14:ligatures w14:val="standardContextual"/>
            </w:rPr>
          </w:pPr>
          <w:r>
            <w:fldChar w:fldCharType="begin"/>
          </w:r>
          <w:r>
            <w:instrText xml:space="preserve"> HYPERLINK \l "_Toc239087995" </w:instrText>
          </w:r>
          <w:r>
            <w:fldChar w:fldCharType="separate"/>
          </w:r>
          <w:r>
            <w:rPr>
              <w:rStyle w:val="24"/>
              <w:rFonts w:hint="eastAsia"/>
              <w:b/>
              <w:bCs/>
            </w:rPr>
            <w:t>福建鲜活贻贝首次直销台湾</w:t>
          </w:r>
          <w:r>
            <w:rPr>
              <w:rFonts w:hint="eastAsia"/>
            </w:rPr>
            <w:tab/>
          </w:r>
          <w:r>
            <w:rPr>
              <w:rFonts w:hint="eastAsia"/>
            </w:rPr>
            <w:fldChar w:fldCharType="begin"/>
          </w:r>
          <w:r>
            <w:rPr>
              <w:rFonts w:hint="eastAsia"/>
            </w:rPr>
            <w:instrText xml:space="preserve"> </w:instrText>
          </w:r>
          <w:r>
            <w:instrText xml:space="preserve">PAGEREF _Toc239087995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17C8A957">
          <w:pPr>
            <w:pStyle w:val="15"/>
            <w:rPr>
              <w:rFonts w:asciiTheme="minorHAnsi" w:hAnsiTheme="minorHAnsi" w:eastAsiaTheme="minorEastAsia" w:cstheme="minorBidi"/>
              <w:sz w:val="22"/>
              <w14:ligatures w14:val="standardContextual"/>
            </w:rPr>
          </w:pPr>
          <w:r>
            <w:fldChar w:fldCharType="begin"/>
          </w:r>
          <w:r>
            <w:instrText xml:space="preserve"> HYPERLINK \l "_Toc239087996" </w:instrText>
          </w:r>
          <w:r>
            <w:fldChar w:fldCharType="separate"/>
          </w:r>
          <w:r>
            <w:rPr>
              <w:rStyle w:val="24"/>
              <w:rFonts w:hint="eastAsia"/>
              <w:b/>
              <w:bCs/>
            </w:rPr>
            <w:t>福建尖刀蛏人工繁育获重大突破，约300万粒苗种为资源恢复注入动能</w:t>
          </w:r>
          <w:r>
            <w:rPr>
              <w:rFonts w:hint="eastAsia"/>
            </w:rPr>
            <w:tab/>
          </w:r>
          <w:r>
            <w:rPr>
              <w:rFonts w:hint="eastAsia"/>
            </w:rPr>
            <w:fldChar w:fldCharType="begin"/>
          </w:r>
          <w:r>
            <w:rPr>
              <w:rFonts w:hint="eastAsia"/>
            </w:rPr>
            <w:instrText xml:space="preserve"> </w:instrText>
          </w:r>
          <w:r>
            <w:instrText xml:space="preserve">PAGEREF _Toc239087996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08152CCD">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HYPERLINK \l "_Toc239087997" </w:instrText>
          </w:r>
          <w:r>
            <w:fldChar w:fldCharType="separate"/>
          </w:r>
          <w:r>
            <w:rPr>
              <w:rStyle w:val="24"/>
              <w:rFonts w:hint="eastAsia" w:eastAsia="黑体"/>
              <w:b/>
              <w:bCs/>
              <w:bdr w:val="single" w:color="auto" w:sz="4" w:space="0"/>
            </w:rPr>
            <w:t>研究进展</w:t>
          </w:r>
          <w:r>
            <w:rPr>
              <w:rFonts w:hint="eastAsia"/>
            </w:rPr>
            <w:tab/>
          </w:r>
          <w:r>
            <w:rPr>
              <w:rFonts w:hint="eastAsia"/>
            </w:rPr>
            <w:fldChar w:fldCharType="begin"/>
          </w:r>
          <w:r>
            <w:rPr>
              <w:rFonts w:hint="eastAsia"/>
            </w:rPr>
            <w:instrText xml:space="preserve"> </w:instrText>
          </w:r>
          <w:r>
            <w:instrText xml:space="preserve">PAGEREF _Toc239087997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2F645ECF">
          <w:pPr>
            <w:pStyle w:val="15"/>
            <w:rPr>
              <w:rFonts w:asciiTheme="minorHAnsi" w:hAnsiTheme="minorHAnsi" w:eastAsiaTheme="minorEastAsia" w:cstheme="minorBidi"/>
              <w:sz w:val="22"/>
              <w14:ligatures w14:val="standardContextual"/>
            </w:rPr>
          </w:pPr>
          <w:r>
            <w:fldChar w:fldCharType="begin"/>
          </w:r>
          <w:r>
            <w:instrText xml:space="preserve"> HYPERLINK \l "_Toc239087998" </w:instrText>
          </w:r>
          <w:r>
            <w:fldChar w:fldCharType="separate"/>
          </w:r>
          <w:r>
            <w:rPr>
              <w:rStyle w:val="24"/>
              <w:rFonts w:hint="eastAsia" w:ascii="黑体" w:hAnsi="黑体" w:cs="黑体"/>
              <w:b/>
              <w:bCs/>
            </w:rPr>
            <w:t>高脂饲料添加柚皮苷对大口黑鲈肝脏脂质代谢和内质网应激的影响</w:t>
          </w:r>
          <w:r>
            <w:rPr>
              <w:rFonts w:hint="eastAsia"/>
            </w:rPr>
            <w:tab/>
          </w:r>
          <w:r>
            <w:rPr>
              <w:rFonts w:hint="eastAsia"/>
            </w:rPr>
            <w:fldChar w:fldCharType="begin"/>
          </w:r>
          <w:r>
            <w:rPr>
              <w:rFonts w:hint="eastAsia"/>
            </w:rPr>
            <w:instrText xml:space="preserve"> </w:instrText>
          </w:r>
          <w:r>
            <w:instrText xml:space="preserve">PAGEREF _Toc239087998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3895F6BA">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HYPERLINK \l "_Toc239087999" </w:instrText>
          </w:r>
          <w:r>
            <w:fldChar w:fldCharType="separate"/>
          </w:r>
          <w:r>
            <w:rPr>
              <w:rStyle w:val="24"/>
              <w:rFonts w:hint="eastAsia" w:eastAsia="黑体"/>
              <w:b/>
              <w:bCs/>
              <w:bdr w:val="single" w:color="auto" w:sz="4" w:space="0"/>
            </w:rPr>
            <w:t>科学研究</w:t>
          </w:r>
          <w:r>
            <w:rPr>
              <w:rFonts w:hint="eastAsia"/>
            </w:rPr>
            <w:tab/>
          </w:r>
          <w:r>
            <w:rPr>
              <w:rFonts w:hint="eastAsia"/>
            </w:rPr>
            <w:fldChar w:fldCharType="begin"/>
          </w:r>
          <w:r>
            <w:rPr>
              <w:rFonts w:hint="eastAsia"/>
            </w:rPr>
            <w:instrText xml:space="preserve"> </w:instrText>
          </w:r>
          <w:r>
            <w:instrText xml:space="preserve">PAGEREF _Toc239087999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14:paraId="6C271B01">
          <w:pPr>
            <w:pStyle w:val="15"/>
            <w:rPr>
              <w:rFonts w:asciiTheme="minorHAnsi" w:hAnsiTheme="minorHAnsi" w:eastAsiaTheme="minorEastAsia" w:cstheme="minorBidi"/>
              <w:sz w:val="22"/>
              <w14:ligatures w14:val="standardContextual"/>
            </w:rPr>
          </w:pPr>
          <w:r>
            <w:fldChar w:fldCharType="begin"/>
          </w:r>
          <w:r>
            <w:instrText xml:space="preserve"> HYPERLINK \l "_Toc239088000" </w:instrText>
          </w:r>
          <w:r>
            <w:fldChar w:fldCharType="separate"/>
          </w:r>
          <w:r>
            <w:rPr>
              <w:rStyle w:val="24"/>
              <w:rFonts w:hint="eastAsia" w:ascii="黑体" w:hAnsi="黑体" w:cs="黑体"/>
              <w:b/>
              <w:bCs/>
            </w:rPr>
            <w:t>小球藻替代豆粕对框鳞镜鲤生长性能、肌肉品质及肠道菌群的影响</w:t>
          </w:r>
          <w:r>
            <w:rPr>
              <w:rFonts w:hint="eastAsia"/>
            </w:rPr>
            <w:tab/>
          </w:r>
          <w:r>
            <w:rPr>
              <w:rFonts w:hint="eastAsia"/>
            </w:rPr>
            <w:fldChar w:fldCharType="begin"/>
          </w:r>
          <w:r>
            <w:rPr>
              <w:rFonts w:hint="eastAsia"/>
            </w:rPr>
            <w:instrText xml:space="preserve"> </w:instrText>
          </w:r>
          <w:r>
            <w:instrText xml:space="preserve">PAGEREF _Toc239088000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14:paraId="3343E29C">
          <w:pPr>
            <w:pStyle w:val="14"/>
            <w:tabs>
              <w:tab w:val="right" w:leader="dot" w:pos="9402"/>
            </w:tabs>
            <w:rPr>
              <w:rFonts w:asciiTheme="minorHAnsi" w:hAnsiTheme="minorHAnsi" w:eastAsiaTheme="minorEastAsia" w:cstheme="minorBidi"/>
              <w:sz w:val="22"/>
              <w14:ligatures w14:val="standardContextual"/>
            </w:rPr>
          </w:pPr>
          <w:r>
            <w:fldChar w:fldCharType="begin"/>
          </w:r>
          <w:r>
            <w:instrText xml:space="preserve"> HYPERLINK \l "_Toc239088001" </w:instrText>
          </w:r>
          <w:r>
            <w:fldChar w:fldCharType="separate"/>
          </w:r>
          <w:r>
            <w:rPr>
              <w:rStyle w:val="24"/>
              <w:rFonts w:hint="eastAsia" w:eastAsia="黑体"/>
              <w:b/>
              <w:bCs/>
              <w:bdr w:val="single" w:color="auto" w:sz="4" w:space="0"/>
            </w:rPr>
            <w:t>饲料研发</w:t>
          </w:r>
          <w:r>
            <w:rPr>
              <w:rFonts w:hint="eastAsia"/>
            </w:rPr>
            <w:tab/>
          </w:r>
          <w:r>
            <w:rPr>
              <w:rFonts w:hint="eastAsia"/>
            </w:rPr>
            <w:fldChar w:fldCharType="begin"/>
          </w:r>
          <w:r>
            <w:rPr>
              <w:rFonts w:hint="eastAsia"/>
            </w:rPr>
            <w:instrText xml:space="preserve"> </w:instrText>
          </w:r>
          <w:r>
            <w:instrText xml:space="preserve">PAGEREF _Toc239088001 \h</w:instrText>
          </w:r>
          <w:r>
            <w:rPr>
              <w:rFonts w:hint="eastAsia"/>
            </w:rPr>
            <w:instrText xml:space="preserve"> </w:instrText>
          </w:r>
          <w:r>
            <w:rPr>
              <w:rFonts w:hint="eastAsia"/>
            </w:rPr>
            <w:fldChar w:fldCharType="separate"/>
          </w:r>
          <w:r>
            <w:t>58</w:t>
          </w:r>
          <w:r>
            <w:rPr>
              <w:rFonts w:hint="eastAsia"/>
            </w:rPr>
            <w:fldChar w:fldCharType="end"/>
          </w:r>
          <w:r>
            <w:rPr>
              <w:rFonts w:hint="eastAsia"/>
            </w:rPr>
            <w:fldChar w:fldCharType="end"/>
          </w:r>
        </w:p>
        <w:p w14:paraId="4E594E37">
          <w:pPr>
            <w:pStyle w:val="15"/>
            <w:rPr>
              <w:rFonts w:asciiTheme="minorHAnsi" w:hAnsiTheme="minorHAnsi" w:eastAsiaTheme="minorEastAsia" w:cstheme="minorBidi"/>
              <w:sz w:val="22"/>
              <w14:ligatures w14:val="standardContextual"/>
            </w:rPr>
          </w:pPr>
          <w:r>
            <w:fldChar w:fldCharType="begin"/>
          </w:r>
          <w:r>
            <w:instrText xml:space="preserve"> HYPERLINK \l "_Toc239088002" </w:instrText>
          </w:r>
          <w:r>
            <w:fldChar w:fldCharType="separate"/>
          </w:r>
          <w:r>
            <w:rPr>
              <w:rStyle w:val="24"/>
              <w:rFonts w:hint="eastAsia" w:ascii="黑体" w:hAnsi="黑体" w:cs="黑体"/>
              <w:b/>
              <w:bCs/>
            </w:rPr>
            <w:t>饲料异亮氨酸水平对豹纹鳃棘鲈生长、摄食及脂代谢的影响</w:t>
          </w:r>
          <w:r>
            <w:rPr>
              <w:rFonts w:hint="eastAsia"/>
            </w:rPr>
            <w:tab/>
          </w:r>
          <w:r>
            <w:rPr>
              <w:rFonts w:hint="eastAsia"/>
            </w:rPr>
            <w:fldChar w:fldCharType="begin"/>
          </w:r>
          <w:r>
            <w:rPr>
              <w:rFonts w:hint="eastAsia"/>
            </w:rPr>
            <w:instrText xml:space="preserve"> </w:instrText>
          </w:r>
          <w:r>
            <w:instrText xml:space="preserve">PAGEREF _Toc239088002 \h</w:instrText>
          </w:r>
          <w:r>
            <w:rPr>
              <w:rFonts w:hint="eastAsia"/>
            </w:rPr>
            <w:instrText xml:space="preserve"> </w:instrText>
          </w:r>
          <w:r>
            <w:rPr>
              <w:rFonts w:hint="eastAsia"/>
            </w:rPr>
            <w:fldChar w:fldCharType="separate"/>
          </w:r>
          <w:r>
            <w:t>58</w:t>
          </w:r>
          <w:r>
            <w:rPr>
              <w:rFonts w:hint="eastAsia"/>
            </w:rPr>
            <w:fldChar w:fldCharType="end"/>
          </w:r>
          <w:r>
            <w:rPr>
              <w:rFonts w:hint="eastAsia"/>
            </w:rPr>
            <w:fldChar w:fldCharType="end"/>
          </w:r>
        </w:p>
        <w:p w14:paraId="531A8220">
          <w:pPr>
            <w:pStyle w:val="15"/>
            <w:rPr>
              <w:rFonts w:asciiTheme="minorHAnsi" w:hAnsiTheme="minorHAnsi" w:eastAsiaTheme="minorEastAsia" w:cstheme="minorBidi"/>
              <w:sz w:val="22"/>
              <w14:ligatures w14:val="standardContextual"/>
            </w:rPr>
          </w:pPr>
          <w:r>
            <w:fldChar w:fldCharType="begin"/>
          </w:r>
          <w:r>
            <w:instrText xml:space="preserve"> HYPERLINK \l "_Toc239088003" </w:instrText>
          </w:r>
          <w:r>
            <w:fldChar w:fldCharType="separate"/>
          </w:r>
          <w:r>
            <w:rPr>
              <w:rStyle w:val="24"/>
              <w:rFonts w:hint="eastAsia" w:ascii="黑体" w:hAnsi="黑体" w:cs="黑体"/>
              <w:b/>
              <w:bCs/>
            </w:rPr>
            <w:t>饲料蛋白水平对大规格草鱼生长性能、消化酶活性和抗氧化能力的影响</w:t>
          </w:r>
          <w:r>
            <w:rPr>
              <w:rFonts w:hint="eastAsia"/>
            </w:rPr>
            <w:tab/>
          </w:r>
          <w:r>
            <w:rPr>
              <w:rFonts w:hint="eastAsia"/>
            </w:rPr>
            <w:fldChar w:fldCharType="begin"/>
          </w:r>
          <w:r>
            <w:rPr>
              <w:rFonts w:hint="eastAsia"/>
            </w:rPr>
            <w:instrText xml:space="preserve"> </w:instrText>
          </w:r>
          <w:r>
            <w:instrText xml:space="preserve">PAGEREF _Toc239088003 \h</w:instrText>
          </w:r>
          <w:r>
            <w:rPr>
              <w:rFonts w:hint="eastAsia"/>
            </w:rPr>
            <w:instrText xml:space="preserve"> </w:instrText>
          </w:r>
          <w:r>
            <w:rPr>
              <w:rFonts w:hint="eastAsia"/>
            </w:rPr>
            <w:fldChar w:fldCharType="separate"/>
          </w:r>
          <w:r>
            <w:t>71</w:t>
          </w:r>
          <w:r>
            <w:rPr>
              <w:rFonts w:hint="eastAsia"/>
            </w:rPr>
            <w:fldChar w:fldCharType="end"/>
          </w:r>
          <w:r>
            <w:rPr>
              <w:rFonts w:hint="eastAsia"/>
            </w:rPr>
            <w:fldChar w:fldCharType="end"/>
          </w:r>
        </w:p>
        <w:p w14:paraId="4E573DDD">
          <w:r>
            <w:rPr>
              <w:lang w:val="zh-CN"/>
            </w:rPr>
            <w:fldChar w:fldCharType="end"/>
          </w:r>
        </w:p>
      </w:sdtContent>
    </w:sdt>
    <w:p w14:paraId="03ED2300">
      <w:pPr>
        <w:spacing w:line="360" w:lineRule="auto"/>
        <w:ind w:left="-94" w:leftChars="-45" w:right="-334" w:rightChars="-159"/>
        <w:jc w:val="left"/>
        <w:rPr>
          <w:rStyle w:val="96"/>
          <w:rFonts w:eastAsia="黑体"/>
          <w:b/>
          <w:bCs/>
          <w:sz w:val="32"/>
          <w:szCs w:val="32"/>
          <w:bdr w:val="single" w:color="auto" w:sz="4" w:space="0"/>
        </w:rPr>
      </w:pPr>
    </w:p>
    <w:p w14:paraId="3B647710">
      <w:pPr>
        <w:spacing w:line="360" w:lineRule="auto"/>
        <w:ind w:left="-94" w:leftChars="-45" w:right="-334" w:rightChars="-159"/>
        <w:jc w:val="left"/>
        <w:rPr>
          <w:rStyle w:val="96"/>
          <w:rFonts w:eastAsia="黑体"/>
          <w:b/>
          <w:bCs/>
          <w:sz w:val="32"/>
          <w:szCs w:val="32"/>
          <w:bdr w:val="single" w:color="auto" w:sz="4" w:space="0"/>
        </w:rPr>
      </w:pPr>
    </w:p>
    <w:p w14:paraId="18388645">
      <w:pPr>
        <w:spacing w:line="360" w:lineRule="auto"/>
        <w:ind w:right="-334" w:rightChars="-159"/>
        <w:jc w:val="left"/>
        <w:rPr>
          <w:rStyle w:val="96"/>
          <w:rFonts w:eastAsia="黑体"/>
          <w:b/>
          <w:bCs/>
          <w:sz w:val="32"/>
          <w:szCs w:val="32"/>
          <w:bdr w:val="single" w:color="auto" w:sz="4" w:space="0"/>
        </w:rPr>
      </w:pPr>
    </w:p>
    <w:p w14:paraId="4B83B64B">
      <w:pPr>
        <w:spacing w:line="360" w:lineRule="auto"/>
        <w:ind w:left="-94" w:leftChars="-45" w:right="-334" w:rightChars="-159"/>
        <w:jc w:val="left"/>
        <w:rPr>
          <w:b/>
          <w:bCs/>
          <w:sz w:val="32"/>
          <w:szCs w:val="32"/>
        </w:rPr>
      </w:pPr>
      <w:r>
        <w:rPr>
          <w:b/>
          <w:bCs/>
          <w:sz w:val="32"/>
          <w:szCs w:val="32"/>
        </w:rPr>
        <mc:AlternateContent>
          <mc:Choice Requires="wps">
            <w:drawing>
              <wp:anchor distT="0" distB="0" distL="114300" distR="114300" simplePos="0" relativeHeight="251666432" behindDoc="0" locked="0" layoutInCell="1" allowOverlap="1">
                <wp:simplePos x="0" y="0"/>
                <wp:positionH relativeFrom="column">
                  <wp:posOffset>-113030</wp:posOffset>
                </wp:positionH>
                <wp:positionV relativeFrom="paragraph">
                  <wp:posOffset>1882775</wp:posOffset>
                </wp:positionV>
                <wp:extent cx="6212205" cy="0"/>
                <wp:effectExtent l="0" t="19050" r="55880" b="38100"/>
                <wp:wrapNone/>
                <wp:docPr id="929722742" name="直线 5"/>
                <wp:cNvGraphicFramePr/>
                <a:graphic xmlns:a="http://schemas.openxmlformats.org/drawingml/2006/main">
                  <a:graphicData uri="http://schemas.microsoft.com/office/word/2010/wordprocessingShape">
                    <wps:wsp>
                      <wps:cNvCnPr>
                        <a:cxnSpLocks noChangeShapeType="1"/>
                      </wps:cNvCnPr>
                      <wps:spPr bwMode="auto">
                        <a:xfrm>
                          <a:off x="0" y="0"/>
                          <a:ext cx="6212020" cy="0"/>
                        </a:xfrm>
                        <a:prstGeom prst="line">
                          <a:avLst/>
                        </a:prstGeom>
                        <a:noFill/>
                        <a:ln w="57150" cmpd="thickThin">
                          <a:solidFill>
                            <a:srgbClr val="000000"/>
                          </a:solidFill>
                          <a:round/>
                        </a:ln>
                      </wps:spPr>
                      <wps:bodyPr/>
                    </wps:wsp>
                  </a:graphicData>
                </a:graphic>
              </wp:anchor>
            </w:drawing>
          </mc:Choice>
          <mc:Fallback>
            <w:pict>
              <v:line id="直线 5" o:spid="_x0000_s1026" o:spt="20" style="position:absolute;left:0pt;margin-left:-8.9pt;margin-top:148.25pt;height:0pt;width:489.15pt;z-index:251666432;mso-width-relative:page;mso-height-relative:page;" filled="f" stroked="t" coordsize="21600,21600" o:gfxdata="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NiY//W&#10;AAAACwEAAA8AAAAAAAAAAQAgAAAAIgAAAGRycy9kb3ducmV2LnhtbFBLAQIUABQAAAAIAIdO4kBy&#10;cuhJ6QEAALsDAAAOAAAAAAAAAAEAIAAAACUBAABkcnMvZTJvRG9jLnhtbFBLBQYAAAAABgAGAFkB&#10;AACABQAAAAA=&#10;">
                <v:fill on="f" focussize="0,0"/>
                <v:stroke weight="4.5pt" color="#000000" linestyle="thickThin" joinstyle="round"/>
                <v:imagedata o:title=""/>
                <o:lock v:ext="edit" aspectratio="f"/>
              </v:line>
            </w:pict>
          </mc:Fallback>
        </mc:AlternateContent>
      </w:r>
      <w:r>
        <w:rPr>
          <w:b/>
          <w:bCs/>
          <w:sz w:val="32"/>
          <w:szCs w:val="32"/>
        </w:rPr>
        <w:drawing>
          <wp:anchor distT="0" distB="0" distL="114300" distR="114300" simplePos="0" relativeHeight="251663360" behindDoc="0" locked="0" layoutInCell="1" allowOverlap="1">
            <wp:simplePos x="0" y="0"/>
            <wp:positionH relativeFrom="column">
              <wp:posOffset>0</wp:posOffset>
            </wp:positionH>
            <wp:positionV relativeFrom="paragraph">
              <wp:posOffset>99060</wp:posOffset>
            </wp:positionV>
            <wp:extent cx="1257300" cy="1257300"/>
            <wp:effectExtent l="0" t="0" r="0" b="0"/>
            <wp:wrapTopAndBottom/>
            <wp:docPr id="1025840065" name="图片 1025840065" descr="徽标（白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40065" name="图片 1025840065" descr="徽标（白边）"/>
                    <pic:cNvPicPr>
                      <a:picLocks noChangeAspect="1" noChangeArrowheads="1"/>
                    </pic:cNvPicPr>
                  </pic:nvPicPr>
                  <pic:blipFill>
                    <a:blip r:embed="rId5" cstate="print"/>
                    <a:srcRect/>
                    <a:stretch>
                      <a:fillRect/>
                    </a:stretch>
                  </pic:blipFill>
                  <pic:spPr>
                    <a:xfrm>
                      <a:off x="0" y="0"/>
                      <a:ext cx="1257300" cy="1257300"/>
                    </a:xfrm>
                    <a:prstGeom prst="rect">
                      <a:avLst/>
                    </a:prstGeom>
                    <a:noFill/>
                    <a:ln w="9525">
                      <a:noFill/>
                      <a:miter lim="800000"/>
                      <a:headEnd/>
                      <a:tailEnd/>
                    </a:ln>
                  </pic:spPr>
                </pic:pic>
              </a:graphicData>
            </a:graphic>
          </wp:anchor>
        </w:drawing>
      </w:r>
      <w:r>
        <w:rPr>
          <w:b/>
          <w:bCs/>
          <w:sz w:val="32"/>
          <w:szCs w:val="32"/>
        </w:rPr>
        <w:drawing>
          <wp:anchor distT="0" distB="0" distL="114300" distR="114300" simplePos="0" relativeHeight="251664384" behindDoc="0" locked="0" layoutInCell="1" allowOverlap="1">
            <wp:simplePos x="0" y="0"/>
            <wp:positionH relativeFrom="column">
              <wp:posOffset>1714500</wp:posOffset>
            </wp:positionH>
            <wp:positionV relativeFrom="paragraph">
              <wp:posOffset>693420</wp:posOffset>
            </wp:positionV>
            <wp:extent cx="3200400" cy="805180"/>
            <wp:effectExtent l="0" t="0" r="0" b="0"/>
            <wp:wrapTopAndBottom/>
            <wp:docPr id="2082212569" name="图片 2082212569" descr="信息简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12569" name="图片 2082212569" descr="信息简报"/>
                    <pic:cNvPicPr>
                      <a:picLocks noChangeAspect="1" noChangeArrowheads="1"/>
                    </pic:cNvPicPr>
                  </pic:nvPicPr>
                  <pic:blipFill>
                    <a:blip r:embed="rId6" cstate="print"/>
                    <a:srcRect l="11453" t="15935" r="17537" b="12360"/>
                    <a:stretch>
                      <a:fillRect/>
                    </a:stretch>
                  </pic:blipFill>
                  <pic:spPr>
                    <a:xfrm>
                      <a:off x="0" y="0"/>
                      <a:ext cx="3200400" cy="805180"/>
                    </a:xfrm>
                    <a:prstGeom prst="rect">
                      <a:avLst/>
                    </a:prstGeom>
                    <a:noFill/>
                    <a:ln w="9525">
                      <a:noFill/>
                      <a:miter lim="800000"/>
                      <a:headEnd/>
                      <a:tailEnd/>
                    </a:ln>
                  </pic:spPr>
                </pic:pic>
              </a:graphicData>
            </a:graphic>
          </wp:anchor>
        </w:drawing>
      </w:r>
      <w:r>
        <w:rPr>
          <w:b/>
          <w:bCs/>
          <w:sz w:val="32"/>
          <w:szCs w:val="32"/>
        </w:rPr>
        <w:drawing>
          <wp:anchor distT="0" distB="0" distL="114300" distR="114300" simplePos="0" relativeHeight="251665408" behindDoc="0" locked="0" layoutInCell="1" allowOverlap="1">
            <wp:simplePos x="0" y="0"/>
            <wp:positionH relativeFrom="column">
              <wp:posOffset>914400</wp:posOffset>
            </wp:positionH>
            <wp:positionV relativeFrom="paragraph">
              <wp:posOffset>0</wp:posOffset>
            </wp:positionV>
            <wp:extent cx="5029200" cy="783590"/>
            <wp:effectExtent l="0" t="0" r="0" b="0"/>
            <wp:wrapNone/>
            <wp:docPr id="962329013" name="图片 962329013" descr="福建省水产饲料研究会 - 刘中一题—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29013" name="图片 962329013" descr="福建省水产饲料研究会 - 刘中一题—红色"/>
                    <pic:cNvPicPr>
                      <a:picLocks noChangeAspect="1" noChangeArrowheads="1"/>
                    </pic:cNvPicPr>
                  </pic:nvPicPr>
                  <pic:blipFill>
                    <a:blip r:embed="rId7" cstate="print"/>
                    <a:srcRect/>
                    <a:stretch>
                      <a:fillRect/>
                    </a:stretch>
                  </pic:blipFill>
                  <pic:spPr>
                    <a:xfrm>
                      <a:off x="0" y="0"/>
                      <a:ext cx="5029200" cy="783590"/>
                    </a:xfrm>
                    <a:prstGeom prst="rect">
                      <a:avLst/>
                    </a:prstGeom>
                    <a:noFill/>
                    <a:ln w="9525">
                      <a:noFill/>
                      <a:miter lim="800000"/>
                      <a:headEnd/>
                      <a:tailEnd/>
                    </a:ln>
                  </pic:spPr>
                </pic:pic>
              </a:graphicData>
            </a:graphic>
          </wp:anchor>
        </w:drawing>
      </w:r>
      <w:r>
        <w:rPr>
          <w:b/>
          <w:bCs/>
          <w:sz w:val="32"/>
          <w:szCs w:val="32"/>
        </w:rPr>
        <w:t>51350000B20881845C</w:t>
      </w:r>
      <w:r>
        <w:rPr>
          <w:rFonts w:hint="eastAsia"/>
          <w:b/>
          <w:bCs/>
          <w:sz w:val="32"/>
          <w:szCs w:val="32"/>
        </w:rPr>
        <w:t xml:space="preserve">   </w:t>
      </w:r>
      <w:r>
        <w:rPr>
          <w:b/>
          <w:bCs/>
          <w:sz w:val="32"/>
          <w:szCs w:val="32"/>
        </w:rPr>
        <w:t>第</w:t>
      </w:r>
      <w:r>
        <w:rPr>
          <w:rFonts w:hint="eastAsia"/>
          <w:b/>
          <w:bCs/>
          <w:sz w:val="32"/>
          <w:szCs w:val="32"/>
        </w:rPr>
        <w:t>16</w:t>
      </w:r>
      <w:r>
        <w:rPr>
          <w:b/>
          <w:bCs/>
          <w:sz w:val="32"/>
          <w:szCs w:val="32"/>
        </w:rPr>
        <w:t>期  (总第</w:t>
      </w:r>
      <w:r>
        <w:rPr>
          <w:rFonts w:hint="eastAsia"/>
          <w:b/>
          <w:bCs/>
          <w:sz w:val="32"/>
          <w:szCs w:val="32"/>
        </w:rPr>
        <w:t>455</w:t>
      </w:r>
      <w:r>
        <w:rPr>
          <w:b/>
          <w:bCs/>
          <w:sz w:val="32"/>
          <w:szCs w:val="32"/>
        </w:rPr>
        <w:t>期)</w:t>
      </w:r>
      <w:r>
        <w:rPr>
          <w:rFonts w:hint="eastAsia"/>
          <w:b/>
          <w:bCs/>
          <w:sz w:val="32"/>
          <w:szCs w:val="32"/>
        </w:rPr>
        <w:t xml:space="preserve">   </w:t>
      </w:r>
      <w:r>
        <w:rPr>
          <w:b/>
          <w:bCs/>
          <w:sz w:val="32"/>
          <w:szCs w:val="32"/>
        </w:rPr>
        <w:t>202</w:t>
      </w:r>
      <w:r>
        <w:rPr>
          <w:rFonts w:hint="eastAsia"/>
          <w:b/>
          <w:bCs/>
          <w:sz w:val="32"/>
          <w:szCs w:val="32"/>
        </w:rPr>
        <w:t>6</w:t>
      </w:r>
      <w:r>
        <w:rPr>
          <w:b/>
          <w:bCs/>
          <w:sz w:val="32"/>
          <w:szCs w:val="32"/>
        </w:rPr>
        <w:t>年</w:t>
      </w:r>
      <w:r>
        <w:rPr>
          <w:rFonts w:hint="eastAsia"/>
          <w:b/>
          <w:bCs/>
          <w:sz w:val="32"/>
          <w:szCs w:val="32"/>
          <w:lang w:val="en-US" w:eastAsia="zh-CN"/>
        </w:rPr>
        <w:t>9</w:t>
      </w:r>
      <w:r>
        <w:rPr>
          <w:b/>
          <w:bCs/>
          <w:sz w:val="32"/>
          <w:szCs w:val="32"/>
        </w:rPr>
        <w:t>月</w:t>
      </w:r>
      <w:r>
        <w:rPr>
          <w:rFonts w:hint="eastAsia"/>
          <w:b/>
          <w:bCs/>
          <w:sz w:val="32"/>
          <w:szCs w:val="32"/>
          <w:lang w:val="en-US" w:eastAsia="zh-CN"/>
        </w:rPr>
        <w:t>1</w:t>
      </w:r>
      <w:bookmarkStart w:id="67" w:name="_GoBack"/>
      <w:bookmarkEnd w:id="67"/>
      <w:r>
        <w:rPr>
          <w:b/>
          <w:bCs/>
          <w:sz w:val="32"/>
          <w:szCs w:val="32"/>
        </w:rPr>
        <w:t>日</w:t>
      </w:r>
    </w:p>
    <w:p w14:paraId="16F5420D">
      <w:pPr>
        <w:spacing w:line="276" w:lineRule="auto"/>
        <w:jc w:val="left"/>
        <w:outlineLvl w:val="0"/>
        <w:rPr>
          <w:rStyle w:val="96"/>
          <w:rFonts w:eastAsia="黑体"/>
          <w:b/>
          <w:bCs/>
          <w:sz w:val="32"/>
          <w:szCs w:val="32"/>
          <w:bdr w:val="single" w:color="auto" w:sz="4" w:space="0"/>
        </w:rPr>
      </w:pPr>
      <w:bookmarkStart w:id="2" w:name="_Toc239087983"/>
      <w:r>
        <w:rPr>
          <w:rStyle w:val="96"/>
          <w:rFonts w:hint="eastAsia" w:eastAsia="黑体"/>
          <w:b/>
          <w:bCs/>
          <w:sz w:val="32"/>
          <w:szCs w:val="32"/>
          <w:bdr w:val="single" w:color="auto" w:sz="4" w:space="0"/>
        </w:rPr>
        <w:t>重要资讯</w:t>
      </w:r>
      <w:bookmarkEnd w:id="2"/>
    </w:p>
    <w:bookmarkEnd w:id="1"/>
    <w:p w14:paraId="6D2C2A7A">
      <w:pPr>
        <w:spacing w:line="360" w:lineRule="auto"/>
        <w:jc w:val="center"/>
        <w:outlineLvl w:val="1"/>
        <w:rPr>
          <w:rFonts w:eastAsia="黑体"/>
          <w:b/>
          <w:bCs/>
          <w:sz w:val="32"/>
          <w:szCs w:val="32"/>
        </w:rPr>
      </w:pPr>
      <w:bookmarkStart w:id="3" w:name="_Toc239087984"/>
      <w:r>
        <w:rPr>
          <w:rFonts w:hint="eastAsia" w:eastAsia="黑体"/>
          <w:b/>
          <w:bCs/>
          <w:sz w:val="32"/>
          <w:szCs w:val="32"/>
        </w:rPr>
        <w:t>南海海域和东海部分海域开渔</w:t>
      </w:r>
      <w:bookmarkEnd w:id="3"/>
    </w:p>
    <w:p w14:paraId="015B3B01">
      <w:pPr>
        <w:spacing w:line="360" w:lineRule="auto"/>
        <w:ind w:firstLine="480" w:firstLineChars="200"/>
        <w:rPr>
          <w:rFonts w:eastAsiaTheme="minorEastAsia"/>
          <w:sz w:val="24"/>
        </w:rPr>
      </w:pPr>
      <w:r>
        <w:rPr>
          <w:rFonts w:hint="eastAsia" w:eastAsiaTheme="minorEastAsia"/>
          <w:sz w:val="24"/>
        </w:rPr>
        <w:t>8月16日12时，为期三个半月的南海伏季休渔期正式结束，我国南海海域和东海部分海域开渔。</w:t>
      </w:r>
    </w:p>
    <w:p w14:paraId="5B03B3FD">
      <w:pPr>
        <w:spacing w:line="360" w:lineRule="auto"/>
        <w:ind w:firstLine="480" w:firstLineChars="200"/>
        <w:rPr>
          <w:rFonts w:eastAsiaTheme="minorEastAsia"/>
          <w:sz w:val="24"/>
        </w:rPr>
      </w:pPr>
      <w:r>
        <w:rPr>
          <w:rFonts w:eastAsiaTheme="minorEastAsia"/>
          <w:sz w:val="24"/>
        </w:rPr>
        <w:t>在广东阳江、汕尾等地的渔港，千帆竞发。广东全省3.2万艘渔船分批有序出海，开启新一轮耕海牧渔作业。相关部门出动执法船艇80余艘，在65个重点水域航路巡航护航。</w:t>
      </w:r>
    </w:p>
    <w:p w14:paraId="447B2F56">
      <w:pPr>
        <w:spacing w:line="360" w:lineRule="auto"/>
        <w:ind w:firstLine="480" w:firstLineChars="200"/>
        <w:rPr>
          <w:rFonts w:eastAsiaTheme="minorEastAsia"/>
          <w:sz w:val="24"/>
        </w:rPr>
      </w:pPr>
      <w:r>
        <w:rPr>
          <w:rFonts w:eastAsiaTheme="minorEastAsia"/>
          <w:sz w:val="24"/>
        </w:rPr>
        <w:t>海南2.9万余艘渔船也陆续从各港口起航，三沙市今年将增加多艘渔业辅助船，协同渔船共同奔赴南海深远海域，进行深海捕捞。</w:t>
      </w:r>
    </w:p>
    <w:p w14:paraId="022D5236">
      <w:pPr>
        <w:spacing w:line="360" w:lineRule="auto"/>
        <w:ind w:firstLine="480" w:firstLineChars="200"/>
        <w:rPr>
          <w:rFonts w:eastAsiaTheme="minorEastAsia"/>
          <w:sz w:val="24"/>
        </w:rPr>
      </w:pPr>
      <w:r>
        <w:rPr>
          <w:rFonts w:eastAsiaTheme="minorEastAsia"/>
          <w:sz w:val="24"/>
        </w:rPr>
        <w:t>在广西北部湾，福建连江、东山附近海域，出海渔船最快在开渔当天就会带回首批新鲜渔获，海鲜将通过冷链快速销往全国各地。</w:t>
      </w:r>
    </w:p>
    <w:p w14:paraId="1E9440B7">
      <w:pPr>
        <w:spacing w:line="360" w:lineRule="auto"/>
        <w:ind w:firstLine="426"/>
        <w:jc w:val="right"/>
        <w:rPr>
          <w:rFonts w:eastAsiaTheme="minorEastAsia"/>
          <w:szCs w:val="21"/>
        </w:rPr>
      </w:pPr>
      <w:r>
        <w:rPr>
          <w:rStyle w:val="96"/>
          <w:rFonts w:eastAsiaTheme="minorEastAsia"/>
          <w:szCs w:val="21"/>
        </w:rPr>
        <w:t>转摘自</w:t>
      </w:r>
      <w:r>
        <w:rPr>
          <w:rFonts w:hint="eastAsia" w:eastAsiaTheme="minorEastAsia"/>
          <w:szCs w:val="21"/>
        </w:rPr>
        <w:t>央视网</w:t>
      </w:r>
    </w:p>
    <w:p w14:paraId="602FCE3D">
      <w:pPr>
        <w:spacing w:line="360" w:lineRule="auto"/>
        <w:jc w:val="center"/>
        <w:outlineLvl w:val="1"/>
        <w:rPr>
          <w:rFonts w:eastAsia="黑体"/>
          <w:b/>
          <w:bCs/>
          <w:sz w:val="32"/>
          <w:szCs w:val="32"/>
        </w:rPr>
      </w:pPr>
      <w:bookmarkStart w:id="4" w:name="_Toc239087985"/>
      <w:r>
        <w:rPr>
          <w:rFonts w:hint="eastAsia" w:eastAsia="黑体"/>
          <w:b/>
          <w:bCs/>
          <w:sz w:val="32"/>
          <w:szCs w:val="32"/>
        </w:rPr>
        <w:t>农业农村部渔政保障中心公开征集2027年渔船国家和行业标准及国家标准化指导性技术文件项目建议</w:t>
      </w:r>
      <w:bookmarkEnd w:id="4"/>
    </w:p>
    <w:p w14:paraId="48F08681">
      <w:pPr>
        <w:spacing w:line="360" w:lineRule="auto"/>
        <w:ind w:firstLine="480" w:firstLineChars="200"/>
        <w:rPr>
          <w:rFonts w:eastAsiaTheme="minorEastAsia"/>
          <w:sz w:val="24"/>
        </w:rPr>
      </w:pPr>
      <w:r>
        <w:rPr>
          <w:rFonts w:eastAsiaTheme="minorEastAsia"/>
          <w:sz w:val="24"/>
        </w:rPr>
        <w:t>为进一步强化标准引领，扎实推进渔船领域国家、行业标准制修订和国家标准化指导性技术文件制定工作，农业农村部渔政保障中心（全国渔船标准化技术委员会秘书处）印发通知（</w:t>
      </w:r>
      <w:r>
        <w:rPr>
          <w:rFonts w:hint="eastAsia" w:eastAsiaTheme="minorEastAsia"/>
          <w:sz w:val="24"/>
        </w:rPr>
        <w:fldChar w:fldCharType="begin"/>
      </w:r>
      <w:r>
        <w:rPr>
          <w:rFonts w:hint="eastAsia" w:eastAsiaTheme="minorEastAsia"/>
          <w:sz w:val="24"/>
        </w:rPr>
        <w:instrText xml:space="preserve">HYPERLINK "http://www.yzbzzx.agri.cn/tzgg/tzgglist/202608/t20260827_474107.htm" \t "_blank"</w:instrText>
      </w:r>
      <w:r>
        <w:rPr>
          <w:rFonts w:hint="eastAsia" w:eastAsiaTheme="minorEastAsia"/>
          <w:sz w:val="24"/>
        </w:rPr>
        <w:fldChar w:fldCharType="separate"/>
      </w:r>
      <w:r>
        <w:rPr>
          <w:rStyle w:val="24"/>
          <w:rFonts w:eastAsiaTheme="minorEastAsia"/>
          <w:sz w:val="24"/>
        </w:rPr>
        <w:t>http://www.yzbzzx.agri.cn/tzgg/tzgglist/202608/t20260827_474107.htm</w:t>
      </w:r>
      <w:r>
        <w:rPr>
          <w:rFonts w:hint="eastAsia" w:eastAsiaTheme="minorEastAsia"/>
          <w:sz w:val="24"/>
        </w:rPr>
        <w:fldChar w:fldCharType="end"/>
      </w:r>
      <w:r>
        <w:rPr>
          <w:rFonts w:eastAsiaTheme="minorEastAsia"/>
          <w:sz w:val="24"/>
        </w:rPr>
        <w:t>），自即日起至2026年10月20日，面向社会公开征集2027年渔船国家和行业标准及国家标准化指导性技术文件项目建议（国家标准和国家标准化指导性技术文件不受上述时间限制，可随时申报）。</w:t>
      </w:r>
    </w:p>
    <w:p w14:paraId="10EEFA7C">
      <w:pPr>
        <w:spacing w:line="360" w:lineRule="auto"/>
        <w:ind w:firstLine="480" w:firstLineChars="200"/>
        <w:rPr>
          <w:rFonts w:eastAsiaTheme="minorEastAsia"/>
          <w:sz w:val="24"/>
        </w:rPr>
      </w:pPr>
      <w:r>
        <w:rPr>
          <w:rFonts w:eastAsiaTheme="minorEastAsia"/>
          <w:sz w:val="24"/>
        </w:rPr>
        <w:t>通知强调，要加强标准和技术文件对产业发展的技术支撑和对行业管理的服务支撑作用，坚持需求导向、急用先立，安全优先、多元融合，量质并举、提质增效，推动渔船标准和技术文件由数量规模型向质量效益型转变。鼓励制定新材料、新技术、新装备、新工艺等前瞻性标准和安全生产、升级改造、数智渔船等行业亟需标准，以及为技术尚在发展中的标准化对象提供规则指南的国家标准化指导性技术文件。重点征集保障安全生产、促进升级改造、服务行业管理、发展数智渔船、提升国际履约水平和实施五年以上需要修订的渔船国家和行业标准。支持具有一定应用前景但技术尚处于发展过程中或变化较快的渔船相关领域新技术、新业态或新模式的规范类国家标准化指导性技术文件和具有推广或示范价值的渔船相关领域标准化工作经验或做法的报告类国家标准化指导性技术文件。通知明确，鼓励社会各界积极参与渔船标准制修订和国家标准化指导性技术文件制定工作，牵头编制单位应具备与项目相关的专业背景或科研技术基础，申报项目要注重原创性、可行性和应用性，立项依据充分，方案科学合理，草案成熟规范，确保按时、保质完成编制工作。</w:t>
      </w:r>
    </w:p>
    <w:p w14:paraId="7ACC286E">
      <w:pPr>
        <w:spacing w:line="360" w:lineRule="auto"/>
        <w:ind w:firstLine="480" w:firstLineChars="200"/>
        <w:rPr>
          <w:rFonts w:eastAsiaTheme="minorEastAsia"/>
          <w:sz w:val="24"/>
        </w:rPr>
      </w:pPr>
      <w:r>
        <w:rPr>
          <w:rFonts w:eastAsiaTheme="minorEastAsia"/>
          <w:sz w:val="24"/>
        </w:rPr>
        <w:t>下一步，渔政保障中心将适时组织项目建议技术论证，根据论证情况开展项目遴选、农业农村标准项目推荐入库、立项申报和登记等工作。</w:t>
      </w:r>
    </w:p>
    <w:p w14:paraId="39BAF147">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农业农村部渔政保障中心</w:t>
      </w:r>
    </w:p>
    <w:p w14:paraId="05B2B4D1">
      <w:pPr>
        <w:spacing w:line="360" w:lineRule="auto"/>
        <w:jc w:val="center"/>
        <w:outlineLvl w:val="1"/>
        <w:rPr>
          <w:rFonts w:eastAsia="黑体"/>
          <w:b/>
          <w:bCs/>
          <w:sz w:val="32"/>
          <w:szCs w:val="32"/>
        </w:rPr>
      </w:pPr>
      <w:bookmarkStart w:id="5" w:name="_Toc239087986"/>
      <w:r>
        <w:rPr>
          <w:rFonts w:hint="eastAsia" w:eastAsia="黑体"/>
          <w:b/>
          <w:bCs/>
          <w:sz w:val="32"/>
          <w:szCs w:val="32"/>
        </w:rPr>
        <w:t>“十四五” 中国稻渔综合种养产业发展报告</w:t>
      </w:r>
      <w:bookmarkEnd w:id="5"/>
    </w:p>
    <w:p w14:paraId="55C64B6D">
      <w:pPr>
        <w:spacing w:line="360" w:lineRule="auto"/>
        <w:ind w:firstLine="480" w:firstLineChars="200"/>
        <w:rPr>
          <w:rFonts w:eastAsiaTheme="minorEastAsia"/>
          <w:sz w:val="24"/>
        </w:rPr>
      </w:pPr>
      <w:r>
        <w:rPr>
          <w:rFonts w:hint="eastAsia" w:eastAsiaTheme="minorEastAsia"/>
          <w:sz w:val="24"/>
        </w:rPr>
        <w:t>“十四五”以来，我国稻渔综合种养产业持续稳定发展，产业规模持续扩大，产业发展质量和效益同步提升，产业融合发展明显加快，新业态新模式不断涌现，规模化和组织化程度不断提高，规范化和标准化生产水平得到提升，多功能拓展和新要素价值日益凸显，品牌化、产业化和区域化稳步发展。2025年，全国稻渔综合种养面积达到4665.46万亩、水产品产量达到460.68万吨（未包括港澳台地区，下同）。我国稻渔综合种养产业正由“规模扩张”向“质效并重”转变，综合效益不断提升，在稳定粮食生产、拓展发展空间、保障水产品供给、促进农业增效农民增收中发挥了重要作用，成为推动乡村产业振兴的新动能。</w:t>
      </w:r>
    </w:p>
    <w:p w14:paraId="6477D2F2">
      <w:pPr>
        <w:spacing w:line="360" w:lineRule="auto"/>
        <w:ind w:firstLine="480" w:firstLineChars="200"/>
        <w:rPr>
          <w:rFonts w:eastAsiaTheme="minorEastAsia"/>
          <w:sz w:val="24"/>
        </w:rPr>
      </w:pPr>
      <w:r>
        <w:rPr>
          <w:rFonts w:hint="eastAsia" w:eastAsiaTheme="minorEastAsia"/>
          <w:sz w:val="24"/>
        </w:rPr>
        <w:t>为促进稻渔综合种养产业高质量发展，在农业农村部渔业渔政管理局指导下，全国水产技术推广总站、中国水产学会组织编写了《“十四五”中国稻渔综合种养产业发展报告》。报告旨在反映“十四五”期间我国稻渔综合种养产业发展情况，总结发展成效和经验。有关情况如下。</w:t>
      </w:r>
    </w:p>
    <w:p w14:paraId="7164F29B">
      <w:pPr>
        <w:spacing w:line="360" w:lineRule="auto"/>
        <w:ind w:firstLine="482" w:firstLineChars="200"/>
        <w:rPr>
          <w:rFonts w:eastAsiaTheme="minorEastAsia"/>
          <w:sz w:val="24"/>
        </w:rPr>
      </w:pPr>
      <w:r>
        <w:rPr>
          <w:rFonts w:eastAsiaTheme="minorEastAsia"/>
          <w:b/>
          <w:bCs/>
          <w:sz w:val="24"/>
        </w:rPr>
        <w:t>一</w:t>
      </w:r>
      <w:r>
        <w:rPr>
          <w:rFonts w:hint="eastAsia" w:eastAsiaTheme="minorEastAsia"/>
          <w:sz w:val="24"/>
        </w:rPr>
        <w:t>、</w:t>
      </w:r>
      <w:r>
        <w:rPr>
          <w:rFonts w:eastAsiaTheme="minorEastAsia"/>
          <w:b/>
          <w:bCs/>
          <w:sz w:val="24"/>
        </w:rPr>
        <w:t>产业发展现状</w:t>
      </w:r>
    </w:p>
    <w:p w14:paraId="45FF60AD">
      <w:pPr>
        <w:spacing w:line="360" w:lineRule="auto"/>
        <w:ind w:firstLine="482" w:firstLineChars="200"/>
        <w:rPr>
          <w:rFonts w:eastAsiaTheme="minorEastAsia"/>
          <w:sz w:val="24"/>
        </w:rPr>
      </w:pPr>
      <w:r>
        <w:rPr>
          <w:rFonts w:eastAsiaTheme="minorEastAsia"/>
          <w:b/>
          <w:bCs/>
          <w:sz w:val="24"/>
        </w:rPr>
        <w:t>（一）产业规模</w:t>
      </w:r>
    </w:p>
    <w:p w14:paraId="5A00A54B">
      <w:pPr>
        <w:spacing w:line="360" w:lineRule="auto"/>
        <w:ind w:firstLine="482" w:firstLineChars="200"/>
        <w:rPr>
          <w:rFonts w:eastAsiaTheme="minorEastAsia"/>
          <w:b/>
          <w:bCs/>
          <w:sz w:val="24"/>
        </w:rPr>
      </w:pPr>
      <w:r>
        <w:rPr>
          <w:rFonts w:eastAsiaTheme="minorEastAsia"/>
          <w:b/>
          <w:bCs/>
          <w:sz w:val="24"/>
        </w:rPr>
        <w:t>1.种养面积稳步提高</w:t>
      </w:r>
    </w:p>
    <w:p w14:paraId="712CA855">
      <w:pPr>
        <w:spacing w:line="360" w:lineRule="auto"/>
        <w:ind w:firstLine="480" w:firstLineChars="200"/>
        <w:rPr>
          <w:rFonts w:eastAsiaTheme="minorEastAsia"/>
          <w:sz w:val="24"/>
        </w:rPr>
      </w:pPr>
      <w:r>
        <w:rPr>
          <w:rFonts w:eastAsiaTheme="minorEastAsia"/>
          <w:sz w:val="24"/>
        </w:rPr>
        <w:t>“十四五”期间，稻渔综合种养产业规模稳步增长，生产规模和产量呈逐年递增趋势，但总体增幅较“十三五”趋缓。2025年，全国稻渔综合种养面积达到4665.46万亩，比“十三五”末增加821.43万亩，增幅21.37%；生产各类水产品460.68万吨，比“十三五”末增加135.77万吨，增幅达41.79%。</w:t>
      </w:r>
    </w:p>
    <w:p w14:paraId="453C8949">
      <w:pPr>
        <w:spacing w:line="360" w:lineRule="auto"/>
        <w:ind w:firstLine="482" w:firstLineChars="200"/>
        <w:rPr>
          <w:rFonts w:eastAsiaTheme="minorEastAsia"/>
          <w:b/>
          <w:bCs/>
          <w:sz w:val="24"/>
        </w:rPr>
      </w:pPr>
      <w:r>
        <w:rPr>
          <w:rFonts w:eastAsiaTheme="minorEastAsia"/>
          <w:b/>
          <w:bCs/>
          <w:sz w:val="24"/>
        </w:rPr>
        <w:t>2.成为淡水养殖重要组成部分</w:t>
      </w:r>
    </w:p>
    <w:p w14:paraId="22DF871E">
      <w:pPr>
        <w:spacing w:line="360" w:lineRule="auto"/>
        <w:ind w:firstLine="480" w:firstLineChars="200"/>
        <w:rPr>
          <w:rFonts w:eastAsiaTheme="minorEastAsia"/>
          <w:sz w:val="24"/>
        </w:rPr>
      </w:pPr>
      <w:r>
        <w:rPr>
          <w:rFonts w:eastAsiaTheme="minorEastAsia"/>
          <w:sz w:val="24"/>
        </w:rPr>
        <w:t>“十三五”末，稻渔综合种养水产品产量占全国淡水养殖产量的10.52%。“十四五”末，稻渔综合种养水产品产量占全国淡水养殖产量的12.54%，相比于“十三五”末，提高了2个百分点。我国渔业统计将淡水养殖按水域类型分为池塘、湖泊、水库、河沟、其他和稻田，2019年以来，稻渔综合种养水产品产量在各水域淡水养殖水产品产量中持续位居第2，仅次于池塘养殖产量。</w:t>
      </w:r>
    </w:p>
    <w:p w14:paraId="62C86B6A">
      <w:pPr>
        <w:spacing w:line="360" w:lineRule="auto"/>
        <w:ind w:firstLine="482" w:firstLineChars="200"/>
        <w:rPr>
          <w:rFonts w:eastAsiaTheme="minorEastAsia"/>
          <w:b/>
          <w:bCs/>
          <w:sz w:val="24"/>
        </w:rPr>
      </w:pPr>
      <w:r>
        <w:rPr>
          <w:rFonts w:eastAsiaTheme="minorEastAsia"/>
          <w:b/>
          <w:bCs/>
          <w:sz w:val="24"/>
        </w:rPr>
        <w:t>3.种养模式以稻虾和稻鱼为主</w:t>
      </w:r>
    </w:p>
    <w:p w14:paraId="1500CE6B">
      <w:pPr>
        <w:spacing w:line="360" w:lineRule="auto"/>
        <w:ind w:firstLine="480" w:firstLineChars="200"/>
        <w:rPr>
          <w:rFonts w:eastAsiaTheme="minorEastAsia"/>
          <w:sz w:val="24"/>
        </w:rPr>
      </w:pPr>
      <w:r>
        <w:rPr>
          <w:rFonts w:eastAsiaTheme="minorEastAsia"/>
          <w:sz w:val="24"/>
        </w:rPr>
        <w:t>按品种和模式分，“十三五”末，生产规模排前3的依次为稻虾模式、稻鱼模式和稻蟹模式。至“十四五”末，稻虾模式继续位居第1，其中稻小龙虾模式面积约2720万亩，水产品产量达到320万吨，占全国稻渔综合种养面积和水产品产量的58.30%和69.46%，占比较“十三五”末分别增加9.08%和6.08%。稻鱼模式保持第2，面积约1308万亩，产量达到80万吨，占全国稻渔综合种养面积和水产品产量的28.04%和17.37%，占比较“十三五”末分别降低10.98%和7.22%。稻蟹模式仍位居第3，面积302万亩，产量达到11万吨，占全国稻渔综合种养面积和水产品产量的6.47%和2.39%，占比较“十三五”末分别增加1.53%和0.45%。稻鳖、稻蛙、稻螺、稻鳅等其他种养模式总面积和水产品总产量分别为335.46万亩和49.68万吨，分别占全国稻渔综合种养面积和水产品产量的7.19%和10.78%，占比与“十三五”末相比基本持平。总体来看，“十四五”期间，稻小龙虾模式牢牢占据主导地位，同时稻渔综合种养模式和品种趋于多元化。</w:t>
      </w:r>
    </w:p>
    <w:p w14:paraId="44F28ED2">
      <w:pPr>
        <w:spacing w:line="360" w:lineRule="auto"/>
        <w:ind w:firstLine="482" w:firstLineChars="200"/>
        <w:rPr>
          <w:rFonts w:eastAsiaTheme="minorEastAsia"/>
          <w:b/>
          <w:bCs/>
          <w:sz w:val="24"/>
        </w:rPr>
      </w:pPr>
      <w:r>
        <w:rPr>
          <w:rFonts w:eastAsiaTheme="minorEastAsia"/>
          <w:b/>
          <w:bCs/>
          <w:sz w:val="24"/>
        </w:rPr>
        <w:t>（二）区域布局</w:t>
      </w:r>
    </w:p>
    <w:p w14:paraId="65FD6179">
      <w:pPr>
        <w:spacing w:line="360" w:lineRule="auto"/>
        <w:ind w:firstLine="482" w:firstLineChars="200"/>
        <w:rPr>
          <w:rFonts w:eastAsiaTheme="minorEastAsia"/>
          <w:b/>
          <w:bCs/>
          <w:sz w:val="24"/>
        </w:rPr>
      </w:pPr>
      <w:r>
        <w:rPr>
          <w:rFonts w:eastAsiaTheme="minorEastAsia"/>
          <w:b/>
          <w:bCs/>
          <w:sz w:val="24"/>
        </w:rPr>
        <w:t>1.产区继续保持集中</w:t>
      </w:r>
    </w:p>
    <w:p w14:paraId="7BD64CAA">
      <w:pPr>
        <w:spacing w:line="360" w:lineRule="auto"/>
        <w:ind w:firstLine="480" w:firstLineChars="200"/>
        <w:rPr>
          <w:rFonts w:eastAsiaTheme="minorEastAsia"/>
          <w:sz w:val="24"/>
        </w:rPr>
      </w:pPr>
      <w:r>
        <w:rPr>
          <w:rFonts w:eastAsiaTheme="minorEastAsia"/>
          <w:sz w:val="24"/>
        </w:rPr>
        <w:t>至“十四五”末，已有28个省（区、市）进行稻渔综合种养统计，仅北京、青海、西藏3地未见统计。5年来，稻渔综合种养的产区继续保持集中。湖北、安徽、湖南、江苏、江西等长江中下游5省稻渔综合种养面积和水产品产量占全国稻渔综合种养总面积和水产品总产量的比重由“十三五”末的59.43%、71.16%，提升至“十四五”末的60.88%、73.69%。其中安徽、湖北两省稻渔综合种养面积迅速扩大，相对于“十三五”末，面积增幅分别达64.05%和24.11%。</w:t>
      </w:r>
    </w:p>
    <w:p w14:paraId="1F563669">
      <w:pPr>
        <w:spacing w:line="360" w:lineRule="auto"/>
        <w:ind w:firstLine="482" w:firstLineChars="200"/>
        <w:rPr>
          <w:rFonts w:eastAsiaTheme="minorEastAsia"/>
          <w:b/>
          <w:bCs/>
          <w:sz w:val="24"/>
        </w:rPr>
      </w:pPr>
      <w:r>
        <w:rPr>
          <w:rFonts w:eastAsiaTheme="minorEastAsia"/>
          <w:b/>
          <w:bCs/>
          <w:sz w:val="24"/>
        </w:rPr>
        <w:t>2.部分非主产区域发展较快</w:t>
      </w:r>
    </w:p>
    <w:p w14:paraId="0C393859">
      <w:pPr>
        <w:spacing w:line="360" w:lineRule="auto"/>
        <w:ind w:firstLine="480" w:firstLineChars="200"/>
        <w:rPr>
          <w:rFonts w:eastAsiaTheme="minorEastAsia"/>
          <w:sz w:val="24"/>
        </w:rPr>
      </w:pPr>
      <w:r>
        <w:rPr>
          <w:rFonts w:eastAsiaTheme="minorEastAsia"/>
          <w:sz w:val="24"/>
        </w:rPr>
        <w:t>“十四五”期间，除长江中下游5省外，四川、贵州、云南、河南、浙江等省份继续保持较大规模且相对稳定；辽宁、吉林、重庆、陕西等省份稻渔综合种养面积迅速扩大。四川、贵州、云南、河南、浙江等省份面积变化不大的主要原因是当地稻渔综合种养产业已较为成熟，具有相对稳定的产业基础和市场需求；辽宁、重庆、陕西等省份发展较快的主要原因是政策扶持和财政投入力度加大，有效激发经营主体积极性。吉林省主要是由于寒地稻渔种养关键技术取得突破，有力支撑了相关产业的快速发展。也有部分省份稻渔面积有所减少。受水资源刚性约束，宁夏水稻种植面积在“十四五”期间整体呈现大幅减少态势，导致稻渔综合种养面积锐减，从6万余亩下降到1.5万亩左右。</w:t>
      </w:r>
    </w:p>
    <w:p w14:paraId="24041C5C">
      <w:pPr>
        <w:spacing w:line="360" w:lineRule="auto"/>
        <w:ind w:firstLine="482" w:firstLineChars="200"/>
        <w:rPr>
          <w:rFonts w:eastAsiaTheme="minorEastAsia"/>
          <w:b/>
          <w:bCs/>
          <w:sz w:val="24"/>
        </w:rPr>
      </w:pPr>
      <w:r>
        <w:rPr>
          <w:rFonts w:hint="eastAsia" w:eastAsiaTheme="minorEastAsia"/>
          <w:b/>
          <w:bCs/>
          <w:sz w:val="24"/>
        </w:rPr>
        <w:t>（</w:t>
      </w:r>
      <w:r>
        <w:rPr>
          <w:rFonts w:eastAsiaTheme="minorEastAsia"/>
          <w:b/>
          <w:bCs/>
          <w:sz w:val="24"/>
        </w:rPr>
        <w:t>三）主要模式发展现状</w:t>
      </w:r>
    </w:p>
    <w:p w14:paraId="1807DB1D">
      <w:pPr>
        <w:spacing w:line="360" w:lineRule="auto"/>
        <w:ind w:firstLine="480" w:firstLineChars="200"/>
        <w:rPr>
          <w:rFonts w:eastAsiaTheme="minorEastAsia"/>
          <w:sz w:val="24"/>
        </w:rPr>
      </w:pPr>
      <w:r>
        <w:rPr>
          <w:rFonts w:eastAsiaTheme="minorEastAsia"/>
          <w:sz w:val="24"/>
        </w:rPr>
        <w:t>由于各地稻田资源、水资源、稻作模式不同，水产养殖产业基础和水产养殖品种生态适应性不同，随着稻渔综合种养产业的发展壮大，我国逐渐形成了稻虾、稻鱼、稻蟹等3大种养主产区，以及稻鳅、稻鳖、稻蛙、稻螺等小品种种养点状式分布的发展现状。</w:t>
      </w:r>
    </w:p>
    <w:p w14:paraId="37981C01">
      <w:pPr>
        <w:spacing w:line="360" w:lineRule="auto"/>
        <w:ind w:firstLine="482" w:firstLineChars="200"/>
        <w:rPr>
          <w:rFonts w:eastAsiaTheme="minorEastAsia"/>
          <w:b/>
          <w:bCs/>
          <w:sz w:val="24"/>
        </w:rPr>
      </w:pPr>
      <w:r>
        <w:rPr>
          <w:rFonts w:eastAsiaTheme="minorEastAsia"/>
          <w:b/>
          <w:bCs/>
          <w:sz w:val="24"/>
        </w:rPr>
        <w:t>1.稻虾种养主产区</w:t>
      </w:r>
      <w:r>
        <w:rPr>
          <w:rFonts w:hint="eastAsia" w:eastAsiaTheme="minorEastAsia"/>
          <w:b/>
          <w:bCs/>
          <w:sz w:val="24"/>
        </w:rPr>
        <w:t xml:space="preserve"> </w:t>
      </w:r>
    </w:p>
    <w:p w14:paraId="5E326CBF">
      <w:pPr>
        <w:spacing w:line="360" w:lineRule="auto"/>
        <w:ind w:firstLine="480" w:firstLineChars="200"/>
        <w:rPr>
          <w:rFonts w:eastAsiaTheme="minorEastAsia"/>
          <w:sz w:val="24"/>
        </w:rPr>
      </w:pPr>
      <w:r>
        <w:rPr>
          <w:rFonts w:eastAsiaTheme="minorEastAsia"/>
          <w:sz w:val="24"/>
        </w:rPr>
        <w:t>主要分布于长江中下游平原地区，即湖北、安徽、湖南、江苏、江西5省。该地区作为我国水稻主产区和淡水水产养殖核心区，依托优越的水热资源、密集的河网水系及成熟的农业产业链，形成了规模庞大的稻小龙虾产业集群。2025年，湖北、安徽、湖南、江苏、江西5省稻小龙虾模式生产面积约2391万亩，产量达到290.65万吨，约占全国稻小龙虾模式种养面积和产量的87.90%和90.82%。</w:t>
      </w:r>
    </w:p>
    <w:p w14:paraId="63DF8A35">
      <w:pPr>
        <w:spacing w:line="360" w:lineRule="auto"/>
        <w:ind w:firstLine="482" w:firstLineChars="200"/>
        <w:rPr>
          <w:rFonts w:eastAsiaTheme="minorEastAsia"/>
          <w:b/>
          <w:bCs/>
          <w:sz w:val="24"/>
        </w:rPr>
      </w:pPr>
      <w:r>
        <w:rPr>
          <w:rFonts w:eastAsiaTheme="minorEastAsia"/>
          <w:b/>
          <w:bCs/>
          <w:sz w:val="24"/>
        </w:rPr>
        <w:t>2.稻鱼种养主产区</w:t>
      </w:r>
    </w:p>
    <w:p w14:paraId="73366B98">
      <w:pPr>
        <w:spacing w:line="360" w:lineRule="auto"/>
        <w:ind w:firstLine="480" w:firstLineChars="200"/>
        <w:rPr>
          <w:rFonts w:eastAsiaTheme="minorEastAsia"/>
          <w:sz w:val="24"/>
        </w:rPr>
      </w:pPr>
      <w:r>
        <w:rPr>
          <w:rFonts w:eastAsiaTheme="minorEastAsia"/>
          <w:sz w:val="24"/>
        </w:rPr>
        <w:t>主要分布在我国南方丘陵山区和四川盆地，包括云南、贵州、四川、广西、湖南、江西、福建、浙江等省（区），地形以低山、丘陵和梯田为主。该地区依托“山-水-林-田”复合生态系统，发展出多样化的稻渔综合种养模式，如“稻鱼鸭”“稻鱼螺”“稻鱼菜”等，总体呈现多元化发展趋势，内涵进一步丰富。其中，四川、贵州、湖南、云南、广西5省（区）稻鱼种养面积约1041.76万亩，产量约73.28万吨，分别占全国稻鱼综合种养面积和产量的79.64%和91.60%。</w:t>
      </w:r>
    </w:p>
    <w:p w14:paraId="39E74274">
      <w:pPr>
        <w:spacing w:line="360" w:lineRule="auto"/>
        <w:ind w:firstLine="482" w:firstLineChars="200"/>
        <w:rPr>
          <w:rFonts w:eastAsiaTheme="minorEastAsia"/>
          <w:b/>
          <w:bCs/>
          <w:sz w:val="24"/>
        </w:rPr>
      </w:pPr>
      <w:r>
        <w:rPr>
          <w:rFonts w:eastAsiaTheme="minorEastAsia"/>
          <w:b/>
          <w:bCs/>
          <w:sz w:val="24"/>
        </w:rPr>
        <w:t>3.稻蟹种养主产区</w:t>
      </w:r>
    </w:p>
    <w:p w14:paraId="6B8FC532">
      <w:pPr>
        <w:spacing w:line="360" w:lineRule="auto"/>
        <w:ind w:firstLine="480" w:firstLineChars="200"/>
        <w:rPr>
          <w:rFonts w:eastAsiaTheme="minorEastAsia"/>
          <w:sz w:val="24"/>
        </w:rPr>
      </w:pPr>
      <w:r>
        <w:rPr>
          <w:rFonts w:eastAsiaTheme="minorEastAsia"/>
          <w:sz w:val="24"/>
        </w:rPr>
        <w:t>我国河蟹主要包括辽河水系和长江水系两个种群。受种群资源影响，稻蟹种养也主要分布于东北地区（辐射到华北、西北地区）和长江中下游地区。其中东北地区辽宁、吉林、黑龙江，华北地区天津、河北，西北地区陕西等6省份稻蟹种养面积约265.08万亩，占全国稻蟹种养面积的87.78%。</w:t>
      </w:r>
    </w:p>
    <w:p w14:paraId="7F46E39D">
      <w:pPr>
        <w:spacing w:line="360" w:lineRule="auto"/>
        <w:ind w:firstLine="480" w:firstLineChars="200"/>
        <w:rPr>
          <w:rFonts w:eastAsiaTheme="minorEastAsia"/>
          <w:sz w:val="24"/>
        </w:rPr>
      </w:pPr>
      <w:r>
        <w:rPr>
          <w:rFonts w:eastAsiaTheme="minorEastAsia"/>
          <w:sz w:val="24"/>
        </w:rPr>
        <w:t>除上述3大品种种养主产区外，稻鳖、稻螺、稻蛙种养产区相对集中。其中，稻鳖种养主要分布于长江中下游地区和广西；稻螺种养分布于华南、华中和华东地区，但主要集中于广西，面积和产量占全国稻螺种养的六成左右。稻蛙主要分布于湖南、江西两省。稻鳅在全国大部分地区均有分布。由于产业规模不大，上述小品种种养产业未形成较高集中度，在各地区呈现点状分布。</w:t>
      </w:r>
    </w:p>
    <w:p w14:paraId="6804AC3E">
      <w:pPr>
        <w:spacing w:line="360" w:lineRule="auto"/>
        <w:ind w:firstLine="482" w:firstLineChars="200"/>
        <w:rPr>
          <w:rFonts w:eastAsiaTheme="minorEastAsia"/>
          <w:sz w:val="24"/>
        </w:rPr>
      </w:pPr>
      <w:r>
        <w:rPr>
          <w:rFonts w:eastAsiaTheme="minorEastAsia"/>
          <w:b/>
          <w:bCs/>
          <w:sz w:val="24"/>
        </w:rPr>
        <w:t>二</w:t>
      </w:r>
      <w:r>
        <w:rPr>
          <w:rFonts w:hint="eastAsia" w:eastAsiaTheme="minorEastAsia"/>
          <w:sz w:val="24"/>
        </w:rPr>
        <w:t>、</w:t>
      </w:r>
      <w:r>
        <w:rPr>
          <w:rFonts w:eastAsiaTheme="minorEastAsia"/>
          <w:b/>
          <w:bCs/>
          <w:sz w:val="24"/>
        </w:rPr>
        <w:t>科技支撑</w:t>
      </w:r>
    </w:p>
    <w:p w14:paraId="55D4C558">
      <w:pPr>
        <w:spacing w:line="360" w:lineRule="auto"/>
        <w:ind w:firstLine="482" w:firstLineChars="200"/>
        <w:rPr>
          <w:rFonts w:eastAsiaTheme="minorEastAsia"/>
          <w:b/>
          <w:bCs/>
          <w:sz w:val="24"/>
        </w:rPr>
      </w:pPr>
      <w:r>
        <w:rPr>
          <w:rFonts w:hint="eastAsia" w:eastAsiaTheme="minorEastAsia"/>
          <w:b/>
          <w:bCs/>
          <w:sz w:val="24"/>
        </w:rPr>
        <w:t>（一）科技创新引领发展</w:t>
      </w:r>
    </w:p>
    <w:p w14:paraId="6DB60621">
      <w:pPr>
        <w:spacing w:line="360" w:lineRule="auto"/>
        <w:ind w:firstLine="480" w:firstLineChars="200"/>
        <w:rPr>
          <w:rFonts w:eastAsiaTheme="minorEastAsia"/>
          <w:sz w:val="24"/>
        </w:rPr>
      </w:pPr>
      <w:r>
        <w:rPr>
          <w:rFonts w:hint="eastAsia" w:eastAsiaTheme="minorEastAsia"/>
          <w:sz w:val="24"/>
        </w:rPr>
        <w:t>聚焦稻渔综合种养模式构建、种业创新、精深加工等领域，各地加大关键核心技术攻关，强化科技成果转化应用，为产业持续健康发展提供有力支撑。一是种业建设成效明显。“十四五”期间，稻渔综合种养种业支撑作用进一步凸显，主养种类苗种生产逐步向规模化产业化转变，育繁推一体商业化水产育种体系加快建设，苗种种质和供给能力明显提升。一批适宜稻渔系统新品种的研发成功和推广应用，为稻渔综合种养稳产优产提供了重要保障。水稻品种选育成果丰硕，各地选育出多个适配稻渔共生系统的耐倒伏高产品种以及高产耐盐品种。盘锦光合蟹业的首个河蟹新品种“光合1号”，凭借抗逆性强、生长速度快、品质优良的特性，成为北方河蟹养殖的核心品种，为产业提供坚实“芯片”保障。江苏培育的“盱眙1号”通过审定，成为全国首个小龙虾新品种，养殖可实现亩均增产18.68%，目前年销量达3000万尾。二是关键技术取得突破。新型种养模式构建和产品精深加工技术取得重要突破，为产业空间拓展和综合效益提升提供了有力支撑。湖南突破小龙虾稻田早苗规模化繁育技术，实现3月早出苗、早上市，亩均效益提升至4000元以上，推动产业发展从“季节性养虾”向“周年供应、高值高效”转型。黑龙江构建起寒地小龙虾“育、繁、推”一体化技术体系，解决了寒地小龙虾养殖的关键瓶颈问题。湖北、湖南相继突破小龙虾精深加工关键技术，以甲壳素、壳聚糖为代表的高附加值衍生品从实验室走向产业化，实现了资源高效利用，显著提升产业附加值。三是平台建设进一步加强。中国水产学会组建稻渔综合种养专业委员会，举办了三届稻渔综合种养科技创新与产业发展大会，构建了稻渔领域产学研合作新平台。地方科技资源整合深入推进，科技创新团队建设更加趋向专业化和区域化。湖南农业大学组建稻渔综合种养研究团队，重点研究“水稻+”立体复合种养模式、绿色高效高值化生产技术以及稻作系统碳氮循环。部分产区所在地市或区县也组建了专门的科技创新团队。陕西省汉中市组建稻蛙综合种养研究院，并成立城固、佛坪2个“专家工作站”。四川省宜宾市兴文县、达州市开江县和大竹县等地均已成立稻虾研究院，为当地稻虾产业发展提供全方位智力支持。“十四五”期间，稻渔综合种养科技成果不断涌现。据初步统计，相关重要科技奖项有10余项（其中神农中华农业科技奖1项，全国农牧渔业丰收奖3项，范蠡科学技术奖3项，以及四川、云南、广东、广西等省（区）科技进步奖、农业技术推广奖等若干项）。</w:t>
      </w:r>
    </w:p>
    <w:p w14:paraId="099E6A7C">
      <w:pPr>
        <w:spacing w:line="360" w:lineRule="auto"/>
        <w:ind w:firstLine="482" w:firstLineChars="200"/>
        <w:rPr>
          <w:rFonts w:eastAsiaTheme="minorEastAsia"/>
          <w:b/>
          <w:bCs/>
          <w:sz w:val="24"/>
        </w:rPr>
      </w:pPr>
      <w:r>
        <w:rPr>
          <w:rFonts w:eastAsiaTheme="minorEastAsia"/>
          <w:b/>
          <w:bCs/>
          <w:sz w:val="24"/>
        </w:rPr>
        <w:t>（二）技术模式创新发展</w:t>
      </w:r>
    </w:p>
    <w:p w14:paraId="1970DDC9">
      <w:pPr>
        <w:spacing w:line="360" w:lineRule="auto"/>
        <w:ind w:firstLine="480" w:firstLineChars="200"/>
        <w:rPr>
          <w:rFonts w:eastAsiaTheme="minorEastAsia"/>
          <w:sz w:val="24"/>
        </w:rPr>
      </w:pPr>
      <w:r>
        <w:rPr>
          <w:rFonts w:eastAsiaTheme="minorEastAsia"/>
          <w:sz w:val="24"/>
        </w:rPr>
        <w:t>依托科研和成果推广应用，各地因地制宜，积极探索引进经济价值高且适宜本地区的养殖品种，结合原有稻作模式和水产养殖方式，创新发展形成了形式多样、内涵丰富的稻渔种养技术模式。</w:t>
      </w:r>
      <w:r>
        <w:rPr>
          <w:rFonts w:eastAsiaTheme="minorEastAsia"/>
          <w:b/>
          <w:bCs/>
          <w:sz w:val="24"/>
        </w:rPr>
        <w:t>按种养品种模式，</w:t>
      </w:r>
      <w:r>
        <w:rPr>
          <w:rFonts w:eastAsiaTheme="minorEastAsia"/>
          <w:sz w:val="24"/>
        </w:rPr>
        <w:t>可划分为稻虾、稻鱼、稻蟹、稻鳝、稻鳅、稻鳖、稻蛙、稻螺等模式。在单一品种种养模式的基础上，因资源利用率和综合效益更高等原因，多品种混养种养模式逐渐受到经营主体关注和青睐，占比也不断提高。例如稻虾鳝模式，湖北推广面积已超13万亩，经济效益达到2500-5000元/亩，较传统稻虾模式增收35%以上。</w:t>
      </w:r>
      <w:r>
        <w:rPr>
          <w:rFonts w:eastAsiaTheme="minorEastAsia"/>
          <w:b/>
          <w:bCs/>
          <w:sz w:val="24"/>
        </w:rPr>
        <w:t>按水产养殖与水稻种植的结合方式，</w:t>
      </w:r>
      <w:r>
        <w:rPr>
          <w:rFonts w:eastAsiaTheme="minorEastAsia"/>
          <w:sz w:val="24"/>
        </w:rPr>
        <w:t>通过对稻田资源的不同利用方式，可划分为空间结合型的共作和时间连接型的轮作两大类，以及“共作+连作”一体模式。通过稻渔种养和其他水产养殖方式结合，又形成了生产效率更高的各类复合型模式，如东北地区湖（塘）田接力模式、宁夏“设施渔业+稻渔共作”模式等。</w:t>
      </w:r>
      <w:r>
        <w:rPr>
          <w:rFonts w:eastAsiaTheme="minorEastAsia"/>
          <w:b/>
          <w:bCs/>
          <w:sz w:val="24"/>
        </w:rPr>
        <w:t>按田间工程，</w:t>
      </w:r>
      <w:r>
        <w:rPr>
          <w:rFonts w:eastAsiaTheme="minorEastAsia"/>
          <w:sz w:val="24"/>
        </w:rPr>
        <w:t>可划分为沟坑型、微沟、平田等模式。其中，基于保护稻田生产能力和促进水稻生产的考虑，各地发展了各具特色的不挖沟或少挖沟模式，如安徽省霍邱县的原生态稻虾种养模式、浙江省青田县丘陵山区稻鱼共作模式、江西省无环沟稻虾种养模式等。“十四五”期间，不挖沟少挖沟模式快速推广，占比有所提高。安徽将霍邱的种养模式作为主推模式，该模式以微沟平板式稻虾轮作为核心，全省推广面积达到260万亩。按照稻田土壤类型，可划分为盐碱地和非盐碱地。“十四五”期间，吉林、辽宁、内蒙古、山东、宁夏等省（区）积极探索发展盐碱地稻渔综合种养，以渔降盐治碱效果显著，既发展了稻渔综合种养，又促进了耕地后备资源开发。河北省唐山市丰南区推广盐碱地稻渔综合种养1700亩，每亩平均效益达到1870元。新增耕地450亩，耕层土壤盐分从7‰下降到2‰以下，新增粮食产量600吨。</w:t>
      </w:r>
    </w:p>
    <w:p w14:paraId="656DA98D">
      <w:pPr>
        <w:spacing w:line="360" w:lineRule="auto"/>
        <w:ind w:firstLine="482" w:firstLineChars="200"/>
        <w:rPr>
          <w:rFonts w:eastAsiaTheme="minorEastAsia"/>
          <w:b/>
          <w:bCs/>
          <w:sz w:val="24"/>
        </w:rPr>
      </w:pPr>
      <w:r>
        <w:rPr>
          <w:rFonts w:eastAsiaTheme="minorEastAsia"/>
          <w:b/>
          <w:bCs/>
          <w:sz w:val="24"/>
        </w:rPr>
        <w:t>（三）标准体系不断完善</w:t>
      </w:r>
    </w:p>
    <w:p w14:paraId="46F4A3B1">
      <w:pPr>
        <w:spacing w:line="360" w:lineRule="auto"/>
        <w:ind w:firstLine="480" w:firstLineChars="200"/>
        <w:rPr>
          <w:rFonts w:eastAsiaTheme="minorEastAsia"/>
          <w:sz w:val="24"/>
        </w:rPr>
      </w:pPr>
      <w:r>
        <w:rPr>
          <w:rFonts w:eastAsiaTheme="minorEastAsia"/>
          <w:sz w:val="24"/>
        </w:rPr>
        <w:t>“十四五”期间，稻渔综合种养规范化、标准化发展水平稳步提升，标准体系不断完善。</w:t>
      </w:r>
      <w:r>
        <w:rPr>
          <w:rFonts w:eastAsiaTheme="minorEastAsia"/>
          <w:b/>
          <w:bCs/>
          <w:sz w:val="24"/>
        </w:rPr>
        <w:t>一是国家标准实现零的突破。</w:t>
      </w:r>
      <w:r>
        <w:rPr>
          <w:rFonts w:eastAsiaTheme="minorEastAsia"/>
          <w:sz w:val="24"/>
        </w:rPr>
        <w:t>2023年，首个稻渔综合种养领域国家标准《稻渔综合种养通用技术要求（GB/T 43508-2023）》正式发布。该标准提出了沟坑设置及占比要求，明确了水稻产量下限和水产养殖目标单产。相关技术要求被《农业农村部关于稳步推进稻渔综合种养产业高质量发展的通知》（农渔发〔2025〕17号）引用。该项国标的发布实施，为规范稻渔综合种养生产，推进产业高质量发展提供了重要依据和支撑。</w:t>
      </w:r>
      <w:r>
        <w:rPr>
          <w:rFonts w:eastAsiaTheme="minorEastAsia"/>
          <w:b/>
          <w:bCs/>
          <w:sz w:val="24"/>
        </w:rPr>
        <w:t>二是行业标准体系持续完善。</w:t>
      </w:r>
      <w:r>
        <w:rPr>
          <w:rFonts w:eastAsiaTheme="minorEastAsia"/>
          <w:sz w:val="24"/>
        </w:rPr>
        <w:t>“十四五”期间，农业农村部共发布《稻渔综合种养技术规范 第8部分：稻鲤（平原型）》《稻渔综合种养技术规范 第7部分：稻鲤（山丘型）》《稻渔综合种养技术规范 第3部分：稻蟹》《稻渔综合种养技术规范 第2部分：稻鲤（梯田型）》等4项行业标准。上述行业标准为主导种养模式生产提供了技术遵循。</w:t>
      </w:r>
      <w:r>
        <w:rPr>
          <w:rFonts w:eastAsiaTheme="minorEastAsia"/>
          <w:b/>
          <w:bCs/>
          <w:sz w:val="24"/>
        </w:rPr>
        <w:t>三是地方标准进一步覆盖。</w:t>
      </w:r>
      <w:r>
        <w:rPr>
          <w:rFonts w:eastAsiaTheme="minorEastAsia"/>
          <w:sz w:val="24"/>
        </w:rPr>
        <w:t>各地围绕本地区主要种养模式，积极开展技术模式熟化和标准化，“十四五”期间累计发布60余项省级地方标准。这些标准涵盖田间工程、苗种繁育、养殖管理、流通加工等多个环节，为广大从业人员提供了较为成熟、适用性强的技术参考和指导。至“十四五”末，我国已建立多层次的稻渔综合种养技术标准体系，为产业高质量发展提供了科学指引和基本遵循。</w:t>
      </w:r>
    </w:p>
    <w:p w14:paraId="56EB01C1">
      <w:pPr>
        <w:spacing w:line="360" w:lineRule="auto"/>
        <w:ind w:firstLine="482" w:firstLineChars="200"/>
        <w:rPr>
          <w:rFonts w:eastAsiaTheme="minorEastAsia"/>
          <w:sz w:val="24"/>
        </w:rPr>
      </w:pPr>
      <w:r>
        <w:rPr>
          <w:rFonts w:eastAsiaTheme="minorEastAsia"/>
          <w:b/>
          <w:bCs/>
          <w:sz w:val="24"/>
        </w:rPr>
        <w:t>三</w:t>
      </w:r>
      <w:r>
        <w:rPr>
          <w:rFonts w:hint="eastAsia" w:eastAsiaTheme="minorEastAsia"/>
          <w:sz w:val="24"/>
        </w:rPr>
        <w:t>、</w:t>
      </w:r>
      <w:r>
        <w:rPr>
          <w:rFonts w:eastAsiaTheme="minorEastAsia"/>
          <w:b/>
          <w:bCs/>
          <w:sz w:val="24"/>
        </w:rPr>
        <w:t>政策扶持</w:t>
      </w:r>
    </w:p>
    <w:p w14:paraId="1869E26C">
      <w:pPr>
        <w:spacing w:line="360" w:lineRule="auto"/>
        <w:ind w:firstLine="482" w:firstLineChars="200"/>
        <w:rPr>
          <w:rFonts w:eastAsiaTheme="minorEastAsia"/>
          <w:sz w:val="24"/>
        </w:rPr>
      </w:pPr>
      <w:r>
        <w:rPr>
          <w:rFonts w:eastAsiaTheme="minorEastAsia"/>
          <w:b/>
          <w:bCs/>
          <w:sz w:val="24"/>
        </w:rPr>
        <w:t>（一）加强政策引导</w:t>
      </w:r>
      <w:r>
        <w:rPr>
          <w:rFonts w:eastAsiaTheme="minorEastAsia"/>
          <w:sz w:val="24"/>
        </w:rPr>
        <w:t>“十四五”期间，稻渔综合种养受到各级政府高度重视，相继出台了多项扶持政策，加快推进产业发展。2021年，国务院印发《“十四五”推进农业农村现代化规划》，提出“稳步发展稻渔综合种养”；农业农村部印发《“十四五”全国渔业发展规划》，提出“科学合理利用稻田资源，稳步发展稻渔综合种养”。2022年10月，农业农村部出台《关于推进稻渔综合种养产业高质量发展的指导意见》，明确了当前和今后一段时期稻渔产业发展的指导思想。2024年12月，农业农村部出台《关于加快农业发展全面绿色转型促进乡村生态振兴的指导意见》，提出到2030年稻渔综合种养发展目标。2025年7月，农业农村部印发《关于稳步推进稻渔综合种养产业高质量发展的通知》，主要从规范提升、转型升级、富民增收、保障措施四个方面提出十项工作要求，推动今后一段时期稻渔综合种养产业高质量发展。同年，全国水产技术推广总站制定了《关于进一步规范和提升稻渔综合种养模式推广工作的指导意见》，明确了模式集成创新和推广方向和重点，提出积极推广少挖沟不挖沟模式。</w:t>
      </w:r>
    </w:p>
    <w:p w14:paraId="6DB2C531">
      <w:pPr>
        <w:spacing w:line="360" w:lineRule="auto"/>
        <w:ind w:firstLine="480" w:firstLineChars="200"/>
        <w:rPr>
          <w:rFonts w:eastAsiaTheme="minorEastAsia"/>
          <w:sz w:val="24"/>
        </w:rPr>
      </w:pPr>
      <w:r>
        <w:rPr>
          <w:rFonts w:eastAsiaTheme="minorEastAsia"/>
          <w:sz w:val="24"/>
        </w:rPr>
        <w:t>“十四五”期间，各地更加重视稻渔综合种养产业发展，将其作为重要的乡村特色产业和富民产业，加大政策创设，结合地方实际，制定出台大量的扶持政策。初步统计，5年来，吉林、黑龙江、湖南等23个省（区、市）共出台三十余项稻渔综合种养相关指导意见、发展规划等重要文件，出台政策省份和出台文件数量均较“十三五”大幅增加。安徽、湖北等省份及部分主产县（市、区）将发展稻渔综合种养作为党委和政府的头号工程，推动产业提质扩面，成为乡村产业振兴和巩固拓展脱贫攻坚成果的重要抓手。</w:t>
      </w:r>
    </w:p>
    <w:p w14:paraId="472DA460">
      <w:pPr>
        <w:spacing w:line="360" w:lineRule="auto"/>
        <w:ind w:firstLine="482" w:firstLineChars="200"/>
        <w:rPr>
          <w:rFonts w:eastAsiaTheme="minorEastAsia"/>
          <w:b/>
          <w:bCs/>
          <w:sz w:val="24"/>
        </w:rPr>
      </w:pPr>
      <w:r>
        <w:rPr>
          <w:rFonts w:eastAsiaTheme="minorEastAsia"/>
          <w:b/>
          <w:bCs/>
          <w:sz w:val="24"/>
        </w:rPr>
        <w:t>（二）加大资金扶持</w:t>
      </w:r>
    </w:p>
    <w:p w14:paraId="6E6BFED5">
      <w:pPr>
        <w:spacing w:line="360" w:lineRule="auto"/>
        <w:ind w:firstLine="480" w:firstLineChars="200"/>
        <w:rPr>
          <w:rFonts w:eastAsiaTheme="minorEastAsia"/>
          <w:sz w:val="24"/>
        </w:rPr>
      </w:pPr>
      <w:r>
        <w:rPr>
          <w:rFonts w:eastAsiaTheme="minorEastAsia"/>
          <w:sz w:val="24"/>
        </w:rPr>
        <w:t>“十四五”期间，中央及地方各级财政统筹粮食生产、渔业补助、产业发展等各类渠道资金，持续加大对稻渔综合种养的资金投入，扶持资金规模不断扩大，扶持建设内容不断拓展，引导带动更多金融和社会资本投入，为产业快速发展提供了有力支撑。</w:t>
      </w:r>
    </w:p>
    <w:p w14:paraId="7EB5B924">
      <w:pPr>
        <w:spacing w:line="360" w:lineRule="auto"/>
        <w:ind w:firstLine="482" w:firstLineChars="200"/>
        <w:rPr>
          <w:rFonts w:eastAsiaTheme="minorEastAsia"/>
          <w:sz w:val="24"/>
        </w:rPr>
      </w:pPr>
      <w:r>
        <w:rPr>
          <w:rFonts w:eastAsiaTheme="minorEastAsia"/>
          <w:b/>
          <w:bCs/>
          <w:sz w:val="24"/>
        </w:rPr>
        <w:t>一是资金规模加大，扶持对象覆盖多元主体。</w:t>
      </w:r>
      <w:r>
        <w:rPr>
          <w:rFonts w:eastAsiaTheme="minorEastAsia"/>
          <w:sz w:val="24"/>
        </w:rPr>
        <w:t>扶持对象包括示范县、示范区/基地、种养主体、繁育企业和加工流通企业，投入力度持续加大。2022年，江苏入围中央财政小龙虾产业集群建设项目，获中央资金支持超1.5亿元，覆盖盱眙、泗洪、兴化等核心县，推动全产业链升级。浙江累计下达省级财政资金7600万元用于稻渔示范（重点）县和示范（重点）基地建设，有关地市根据当地政策按200-3000元/亩对种养主体进行补助。2025年，安徽省级财政新增投入1.2亿元，重点支持无环沟模式推广、精深加工企业培育、数字稻渔建设等。六安、合肥、滁州等主产区累计投入专项奖补资金超3亿元，对连片种养基地、模式创新、加工企业给予精准补贴。2020—2025年湖南省级财政累计投入3亿元以上，启动10个“稻渔综合种养示范县”建设。同时“洞庭湖小龙虾”国家农业产业集群项目获得省级配套资金1亿元以上。</w:t>
      </w:r>
    </w:p>
    <w:p w14:paraId="7B13977C">
      <w:pPr>
        <w:spacing w:line="360" w:lineRule="auto"/>
        <w:ind w:firstLine="482" w:firstLineChars="200"/>
        <w:rPr>
          <w:rFonts w:eastAsiaTheme="minorEastAsia"/>
          <w:sz w:val="24"/>
        </w:rPr>
      </w:pPr>
      <w:r>
        <w:rPr>
          <w:rFonts w:eastAsiaTheme="minorEastAsia"/>
          <w:b/>
          <w:bCs/>
          <w:sz w:val="24"/>
        </w:rPr>
        <w:t>二是扶持方向拓展，覆盖从种养生产到全产业链。</w:t>
      </w:r>
      <w:r>
        <w:rPr>
          <w:rFonts w:eastAsiaTheme="minorEastAsia"/>
          <w:sz w:val="24"/>
        </w:rPr>
        <w:t>随着稻渔综合种养产业加快发展，扶持方向逐步从一产向全产业链覆盖。大部分地区由于产业发展的基础还不牢固，规模化和组织化程度还不高，因此仍将一产作为主要资金投入方向，以扩大产业发展规模和提高产出效益。2025年江西统筹中央成品油价格调整对渔业补助预算和农业产业发展资金，对全省新增稻渔综合种养面积按400元/亩给予基地建设补助。而产业基础较好的地区，如湖北、安徽、江苏等省，则将资金投入的重点更多放在产业提质增效和全产业链发展方面，如主体培育、品牌建设、流通加工、农渔旅融合发展等。湖北围绕小龙虾产业链，每年统筹5亿元以奖代补资金和5亿元贷款贴息资金，支持科技攻关、冷链物流、精深加工、品牌培育。</w:t>
      </w:r>
    </w:p>
    <w:p w14:paraId="67987846">
      <w:pPr>
        <w:spacing w:line="360" w:lineRule="auto"/>
        <w:ind w:firstLine="482" w:firstLineChars="200"/>
        <w:rPr>
          <w:rFonts w:eastAsiaTheme="minorEastAsia"/>
          <w:sz w:val="24"/>
        </w:rPr>
      </w:pPr>
      <w:r>
        <w:rPr>
          <w:rFonts w:eastAsiaTheme="minorEastAsia"/>
          <w:b/>
          <w:bCs/>
          <w:sz w:val="24"/>
        </w:rPr>
        <w:t>三是引导效应放大，带动社会资本投入效果明显。</w:t>
      </w:r>
      <w:r>
        <w:rPr>
          <w:rFonts w:eastAsiaTheme="minorEastAsia"/>
          <w:sz w:val="24"/>
        </w:rPr>
        <w:t>通过各级财政资金投入引导持续带动社会资金投入，杠杆作用效果明显，多元化投入格局已经形成，有力推动稻渔综合种养产业发展。“十四五”期间，安徽省级财政累计投入稻渔综合种养相关资金超5亿元，带动全省市县两级财政投入超20亿元，撬动社会资本投入超50亿元。湖南引导社会资本投入累计超20亿元，主要投向苗种繁育、产品加工、冷链物流、文旅融合等环节，有效弥补财政资金投入不足。湖北潜江5年累计投入1.16亿元加工补贴，直接带动小龙虾加工能力从35万吨跃升至80万吨，资金撬动效果显著。</w:t>
      </w:r>
    </w:p>
    <w:p w14:paraId="069239B2">
      <w:pPr>
        <w:spacing w:line="360" w:lineRule="auto"/>
        <w:ind w:firstLine="482" w:firstLineChars="200"/>
        <w:rPr>
          <w:rFonts w:eastAsiaTheme="minorEastAsia"/>
          <w:sz w:val="24"/>
        </w:rPr>
      </w:pPr>
      <w:r>
        <w:rPr>
          <w:rFonts w:eastAsiaTheme="minorEastAsia"/>
          <w:b/>
          <w:bCs/>
          <w:sz w:val="24"/>
        </w:rPr>
        <w:t>四是金融保险创新，风险保障体系更加健全。</w:t>
      </w:r>
      <w:r>
        <w:rPr>
          <w:rFonts w:eastAsiaTheme="minorEastAsia"/>
          <w:sz w:val="24"/>
        </w:rPr>
        <w:t>各地积极推动信贷、保险等金融创新，推出专属金融产品与特色险种，增强了产业发展的稳定性和抗风险能力。湖北将小龙虾纳入特色险种，全年政策性保险保费3.44亿元，承保面积480万亩；9家银行上线26款金融产品，发放贷款8000多万元。浙江杭州富阳区和淳安县推出“稻蛙种养价格险”，有效降低主体市场风险，其中淳安县2024—2025年度理赔达500多万元。陕西汉中推出“稻渔贷”“稻渔险”，将稻渔综合种养纳入政策性保险范围，为产业发展提供了有力金融保障。</w:t>
      </w:r>
    </w:p>
    <w:p w14:paraId="0D376303">
      <w:pPr>
        <w:spacing w:line="360" w:lineRule="auto"/>
        <w:ind w:firstLine="482" w:firstLineChars="200"/>
        <w:rPr>
          <w:rFonts w:eastAsiaTheme="minorEastAsia"/>
          <w:sz w:val="24"/>
        </w:rPr>
      </w:pPr>
      <w:r>
        <w:rPr>
          <w:rFonts w:eastAsiaTheme="minorEastAsia"/>
          <w:b/>
          <w:bCs/>
          <w:sz w:val="24"/>
        </w:rPr>
        <w:t>四</w:t>
      </w:r>
      <w:r>
        <w:rPr>
          <w:rFonts w:hint="eastAsia" w:eastAsiaTheme="minorEastAsia"/>
          <w:sz w:val="24"/>
        </w:rPr>
        <w:t>、</w:t>
      </w:r>
      <w:r>
        <w:rPr>
          <w:rFonts w:eastAsiaTheme="minorEastAsia"/>
          <w:b/>
          <w:bCs/>
          <w:sz w:val="24"/>
        </w:rPr>
        <w:t>产业化发展</w:t>
      </w:r>
    </w:p>
    <w:p w14:paraId="24BD66A2">
      <w:pPr>
        <w:spacing w:line="360" w:lineRule="auto"/>
        <w:ind w:firstLine="482" w:firstLineChars="200"/>
        <w:rPr>
          <w:rFonts w:eastAsiaTheme="minorEastAsia"/>
          <w:b/>
          <w:bCs/>
          <w:sz w:val="24"/>
        </w:rPr>
      </w:pPr>
      <w:r>
        <w:rPr>
          <w:rFonts w:eastAsiaTheme="minorEastAsia"/>
          <w:b/>
          <w:bCs/>
          <w:sz w:val="24"/>
        </w:rPr>
        <w:t>（一）产业集群继续扩大</w:t>
      </w:r>
    </w:p>
    <w:p w14:paraId="652DFE13">
      <w:pPr>
        <w:spacing w:line="360" w:lineRule="auto"/>
        <w:ind w:firstLine="480" w:firstLineChars="200"/>
        <w:rPr>
          <w:rFonts w:eastAsiaTheme="minorEastAsia"/>
          <w:sz w:val="24"/>
        </w:rPr>
      </w:pPr>
      <w:r>
        <w:rPr>
          <w:rFonts w:eastAsiaTheme="minorEastAsia"/>
          <w:sz w:val="24"/>
        </w:rPr>
        <w:t>“十四五”期间，在产区进一步集中的基础上，各地通过政策和规划引导带动，统筹布局产业链功能板块，深入推进产业集群发展，区域优势特色产业带规模不断扩大，有力带动区域经济发展。</w:t>
      </w:r>
      <w:r>
        <w:rPr>
          <w:rFonts w:eastAsiaTheme="minorEastAsia"/>
          <w:b/>
          <w:bCs/>
          <w:sz w:val="24"/>
        </w:rPr>
        <w:t>一是产业区域布局持续优化。</w:t>
      </w:r>
      <w:r>
        <w:rPr>
          <w:rFonts w:eastAsiaTheme="minorEastAsia"/>
          <w:sz w:val="24"/>
        </w:rPr>
        <w:t>北方地区聚焦寒地种养与盐碱地改良。黑龙江形成哈尔滨核心区辐射齐齐哈尔、佳木斯等地的布局；吉林构建西部盐碱地稻蟹种养核心区、中部黑土地综合种养示范区、东部特色种养探索区三大区域。东部地区突出精细化种养与高效产出。江苏形成苏北稻虾主产区（占比80%以上）、苏中虾蟹混养精品区、苏南农旅融合高端区；浙江构建浙北平原规模高效样板区、浙中盆地特色“一县一品”区、浙西南丘陵生态传承区。中部地区强化优势产区集聚效应。湖北以江汉平原为核心，统筹种业、养殖、加工、流通全产业链布局；安徽构建沿江（稻蟹、稻鳜）、沿淮（稻虾）、环巢湖（全产业链融合）三大产业带。湖南集中推动环洞庭湖稻虾产业集聚区和湘东、湘南、湘西高山禾花鱼综合种养优势带建设。西部地区则在传统种养基础上加快多元化发展。四川打造形成成都平原、川南、川东、川北4大稻渔产业集群带，川南早虾产业集群建设成效明显。</w:t>
      </w:r>
      <w:r>
        <w:rPr>
          <w:rFonts w:eastAsiaTheme="minorEastAsia"/>
          <w:b/>
          <w:bCs/>
          <w:sz w:val="24"/>
        </w:rPr>
        <w:t>二是国家平台支撑不断加强。</w:t>
      </w:r>
      <w:r>
        <w:rPr>
          <w:rFonts w:eastAsiaTheme="minorEastAsia"/>
          <w:sz w:val="24"/>
        </w:rPr>
        <w:t>以稻渔综合种养产业为主要内容的国家级现代农业产业园加快创建，截至“十四五”末，全国共认定或批准创建湖北潜江、江苏盱眙、四川隆昌等7个国家现代农业产业园，比“十三五”末增加3个。累计共有湖北小龙虾、江西鄱阳湖小龙虾、安徽江淮小龙虾、江苏小龙虾、洞庭小龙虾等5个产业集群入选农业农村部优势特色产业集群，比“十三五”末增加3个。江苏省盱眙龙虾产业发展股份有限公司、辽宁盘锦光合蟹业有限公司、江西九江凯瑞生态农业有限公司等3家企业入选国家现代农业全产业链标准化示范基地。</w:t>
      </w:r>
      <w:r>
        <w:rPr>
          <w:rFonts w:eastAsiaTheme="minorEastAsia"/>
          <w:b/>
          <w:bCs/>
          <w:sz w:val="24"/>
        </w:rPr>
        <w:t>三是产业集群产值不断提高。</w:t>
      </w:r>
      <w:r>
        <w:rPr>
          <w:rFonts w:eastAsiaTheme="minorEastAsia"/>
          <w:sz w:val="24"/>
        </w:rPr>
        <w:t>“十四五”期间，安徽重点实施江淮小龙虾优势特色产业集群建设项目，集群内养殖规模达到300万亩，全产业链综合产值超520亿元，带动就业30万人，成为全国规模最大的小龙虾产业集群之一。湖北小龙虾产业总产值超2000亿元，比“十三五”末提高了1倍，其中潜江形成“育种－养殖－加工－流通－文旅”全产业链；湖南环洞庭湖产业集群2025年综合产值达330亿元，其中南县稻虾产业综合产值超百亿元，“南县小龙虾”“南县稻虾米”品牌价值分别达150亿元、500亿元。河南潢川县汇聚600余户养殖户、40家合作社、80家加工企业，形成20亿元级稻虾鳖产业集群。</w:t>
      </w:r>
    </w:p>
    <w:p w14:paraId="2757F74B">
      <w:pPr>
        <w:spacing w:line="360" w:lineRule="auto"/>
        <w:ind w:firstLine="482" w:firstLineChars="200"/>
        <w:rPr>
          <w:rFonts w:eastAsiaTheme="minorEastAsia"/>
          <w:sz w:val="24"/>
        </w:rPr>
      </w:pPr>
      <w:r>
        <w:rPr>
          <w:rFonts w:eastAsiaTheme="minorEastAsia"/>
          <w:b/>
          <w:bCs/>
          <w:sz w:val="24"/>
        </w:rPr>
        <w:t>（二）产业链条全面延伸</w:t>
      </w:r>
    </w:p>
    <w:p w14:paraId="3C6AC765">
      <w:pPr>
        <w:spacing w:line="360" w:lineRule="auto"/>
        <w:ind w:firstLine="480" w:firstLineChars="200"/>
        <w:rPr>
          <w:rFonts w:eastAsiaTheme="minorEastAsia"/>
          <w:sz w:val="24"/>
        </w:rPr>
      </w:pPr>
      <w:r>
        <w:rPr>
          <w:rFonts w:eastAsiaTheme="minorEastAsia"/>
          <w:sz w:val="24"/>
        </w:rPr>
        <w:t>“十四五”期间，通过政策引导和市场带动，稻渔综合种养产业链条不断延伸拓展，逐步由一产为主向三产融合发展迈进。</w:t>
      </w:r>
      <w:r>
        <w:rPr>
          <w:rFonts w:eastAsiaTheme="minorEastAsia"/>
          <w:b/>
          <w:bCs/>
          <w:sz w:val="24"/>
        </w:rPr>
        <w:t>在产前环节，各地加强适养品种的筛选与利用，积极推进本地化育苗、良种选育、育繁推一体化建设，苗种繁育能力显著增强，苗种自给率和良种覆盖率大幅提升。</w:t>
      </w:r>
      <w:r>
        <w:rPr>
          <w:rFonts w:eastAsiaTheme="minorEastAsia"/>
          <w:sz w:val="24"/>
        </w:rPr>
        <w:t>湖北、安徽、湖南、江苏、江西5个小龙虾主产省基本实现苗种本地化供应，湖北和江苏在满足本省需求的同时供给周边省份，良种覆盖率也全面提升；宁夏突破耐碱河蟹繁育技术，创新南北接力、延后繁育模式，摆脱外地苗种依赖；天津、吉林实现扣蟹本省（市）自给。</w:t>
      </w:r>
      <w:r>
        <w:rPr>
          <w:rFonts w:eastAsiaTheme="minorEastAsia"/>
          <w:b/>
          <w:bCs/>
          <w:sz w:val="24"/>
        </w:rPr>
        <w:t>在产后环节，稻渔产品加工、物流环节持续完善，加工能力和水平不断提升，产品附加值不断提高。</w:t>
      </w:r>
      <w:r>
        <w:rPr>
          <w:rFonts w:eastAsiaTheme="minorEastAsia"/>
          <w:sz w:val="24"/>
        </w:rPr>
        <w:t>湖北2025年小龙虾加工企业共174家，总加工能力超120万吨，实际加工量近100万吨。江西九江建成“江西虾谷”，配套2万吨冷链仓储、12条物流专线，18小时可送达全国600余个城市。</w:t>
      </w:r>
      <w:r>
        <w:rPr>
          <w:rFonts w:eastAsiaTheme="minorEastAsia"/>
          <w:b/>
          <w:bCs/>
          <w:sz w:val="24"/>
        </w:rPr>
        <w:t>稻渔产品电商渠道进一步拓展，线上销售比例明显增加，电商直播、社区团购、订单农业进一步普及。</w:t>
      </w:r>
      <w:r>
        <w:rPr>
          <w:rFonts w:eastAsiaTheme="minorEastAsia"/>
          <w:sz w:val="24"/>
        </w:rPr>
        <w:t>安徽2025年稻渔产品线上销售占比超30%，较2020年提升22%；湖南稻渔产品线上销售额达15亿元以上，覆盖全国200余个城市，其中岳阳小龙虾线上销量增长60%。</w:t>
      </w:r>
    </w:p>
    <w:p w14:paraId="57A35307">
      <w:pPr>
        <w:spacing w:line="360" w:lineRule="auto"/>
        <w:ind w:firstLine="482" w:firstLineChars="200"/>
        <w:rPr>
          <w:rFonts w:eastAsiaTheme="minorEastAsia"/>
          <w:b/>
          <w:bCs/>
          <w:sz w:val="24"/>
        </w:rPr>
      </w:pPr>
      <w:r>
        <w:rPr>
          <w:rFonts w:eastAsiaTheme="minorEastAsia"/>
          <w:b/>
          <w:bCs/>
          <w:sz w:val="24"/>
        </w:rPr>
        <w:t>（三）品牌建设着力加强</w:t>
      </w:r>
    </w:p>
    <w:p w14:paraId="520E2068">
      <w:pPr>
        <w:spacing w:line="360" w:lineRule="auto"/>
        <w:ind w:firstLine="480" w:firstLineChars="200"/>
        <w:rPr>
          <w:rFonts w:eastAsiaTheme="minorEastAsia"/>
          <w:sz w:val="24"/>
        </w:rPr>
      </w:pPr>
      <w:r>
        <w:rPr>
          <w:rFonts w:eastAsiaTheme="minorEastAsia"/>
          <w:sz w:val="24"/>
        </w:rPr>
        <w:t>“十四五”期间，通过产业集群深入发展，形成一批市场竞争强、影响力大的区域公用品牌，品牌价值不断提升。</w:t>
      </w:r>
      <w:r>
        <w:rPr>
          <w:rFonts w:eastAsiaTheme="minorEastAsia"/>
          <w:b/>
          <w:bCs/>
          <w:sz w:val="24"/>
        </w:rPr>
        <w:t>一是区域公用品牌标杆引领。</w:t>
      </w:r>
      <w:r>
        <w:rPr>
          <w:rFonts w:eastAsiaTheme="minorEastAsia"/>
          <w:sz w:val="24"/>
        </w:rPr>
        <w:t>一批全国知名品牌价值突破百亿元，成为产业靓丽名片。湖北在“十四五”期间重点打造了“潜江龙虾”区域公用品牌，品牌价值从“十三五”末的203.7亿元跃升至2025年的527.2亿元（数据来源于武汉大学质量发展战略研究院评估结果）；江苏“盱眙龙虾”获评全国农产品地理标志、中国百强农产品区域公用品牌。</w:t>
      </w:r>
      <w:r>
        <w:rPr>
          <w:rFonts w:eastAsiaTheme="minorEastAsia"/>
          <w:b/>
          <w:bCs/>
          <w:sz w:val="24"/>
        </w:rPr>
        <w:t>二是稻渔产品品质得到充分认可。</w:t>
      </w:r>
      <w:r>
        <w:rPr>
          <w:rFonts w:eastAsiaTheme="minorEastAsia"/>
          <w:sz w:val="24"/>
        </w:rPr>
        <w:t>稻渔综合种养模式推动多地特色产品获得国家地理标志、全国名特优新农产品及绿色有机认证，显著提升品牌价值与市场竞争力，市场溢价明显。江苏盱眙通过“稻虾共生”模式产出的盱眙龙虾香米，获批国家地理标志证明商标，在市场上深受消费者青睐。辽宁盘锦蟹田米因“稻蟹共生”系统减少化肥农药使用，产出生态优质大米，价格高出普通大米50%以上，仍供不应求。</w:t>
      </w:r>
      <w:r>
        <w:rPr>
          <w:rFonts w:eastAsiaTheme="minorEastAsia"/>
          <w:b/>
          <w:bCs/>
          <w:sz w:val="24"/>
        </w:rPr>
        <w:t>三是品牌推广活动广泛开展。</w:t>
      </w:r>
      <w:r>
        <w:rPr>
          <w:rFonts w:eastAsiaTheme="minorEastAsia"/>
          <w:sz w:val="24"/>
        </w:rPr>
        <w:t>各地高度重视品牌推广工作，每年通过举办小龙虾产业大会、稻渔美食文化节、农民丰收节等活动，结合短视频、直播电商等方式，全方位地推广稻渔产品。宁夏通过拍摄稻渔综合种养宣传片，组织企业参加渔业科技博览会等全国性推介会，提升本土品牌影响力。云南元阳通过每年举办哈尼梯田稻鱼鸭节庆活动，既传承了传统农耕文化，同时也有效宣传了当地稻渔特色产品，品牌知名度显著提升。</w:t>
      </w:r>
    </w:p>
    <w:p w14:paraId="6A8FB711">
      <w:pPr>
        <w:spacing w:line="360" w:lineRule="auto"/>
        <w:ind w:firstLine="482" w:firstLineChars="200"/>
        <w:rPr>
          <w:rFonts w:eastAsiaTheme="minorEastAsia"/>
          <w:b/>
          <w:bCs/>
          <w:sz w:val="24"/>
        </w:rPr>
      </w:pPr>
      <w:r>
        <w:rPr>
          <w:rFonts w:eastAsiaTheme="minorEastAsia"/>
          <w:b/>
          <w:bCs/>
          <w:sz w:val="24"/>
        </w:rPr>
        <w:t>（四）“稻渔+”亮点纷呈</w:t>
      </w:r>
    </w:p>
    <w:p w14:paraId="084DAD07">
      <w:pPr>
        <w:spacing w:line="360" w:lineRule="auto"/>
        <w:ind w:firstLine="480" w:firstLineChars="200"/>
        <w:rPr>
          <w:rFonts w:eastAsiaTheme="minorEastAsia"/>
          <w:sz w:val="24"/>
        </w:rPr>
      </w:pPr>
      <w:r>
        <w:rPr>
          <w:rFonts w:eastAsiaTheme="minorEastAsia"/>
          <w:sz w:val="24"/>
        </w:rPr>
        <w:t>“十四五”期间，产业集群的持续扩大和产业链条的全面延伸，促进更多地方稻渔综合种养由区域特色产业成为县域乃至省域经济的“大产业”。各地在巩固种养生产优势基础上，突破传统种养边界，推动稻渔综合种养向加工、流通、消费环节深度延伸，通过加工升级、冷链物流与电商融合、品牌化与高端市场渗透，形成从田间到餐桌的全链条环节增值。除了传统的产业链条延伸拓展外，各地还积极推动稻渔综合种养与文旅、科普、康养等其他产业深度融合，拓展了产业空间，丰富了产业业态，使稻渔综合种养多功能得以发挥，“稻渔+”已成为全产业链发展的重点和亮点。</w:t>
      </w:r>
      <w:r>
        <w:rPr>
          <w:rFonts w:eastAsiaTheme="minorEastAsia"/>
          <w:b/>
          <w:bCs/>
          <w:sz w:val="24"/>
        </w:rPr>
        <w:t>“稻渔+休闲”最为普遍。</w:t>
      </w:r>
      <w:r>
        <w:rPr>
          <w:rFonts w:eastAsiaTheme="minorEastAsia"/>
          <w:sz w:val="24"/>
        </w:rPr>
        <w:t>各地依托稻渔生产基地特有的原生态风景、农渔事生产和优质产品，大力发展休闲观光、特色餐饮、农事体验、垂钓采摘、乡村民宿、田园综合体等业态，打造沉浸式体验场景，实现“稻田变景区、田园变公园”，大幅提高稻渔综合种养经济效益。截至“十四五”末，安徽建成休闲垂钓基地、农耕体验园等超过200个，每年举办各类稻渔主题活动超50场，滁州、宣城、六安等地打造的稻渔农文旅综合体，年接待游客超百万人次，2025年全省“稻渔”新业态综合产值超百亿元。</w:t>
      </w:r>
      <w:r>
        <w:rPr>
          <w:rFonts w:eastAsiaTheme="minorEastAsia"/>
          <w:b/>
          <w:bCs/>
          <w:sz w:val="24"/>
        </w:rPr>
        <w:t>“稻渔+研学”异军突起。</w:t>
      </w:r>
      <w:r>
        <w:rPr>
          <w:rFonts w:eastAsiaTheme="minorEastAsia"/>
          <w:sz w:val="24"/>
        </w:rPr>
        <w:t>“十四五”期间，随着农业绿色转型与文旅深度融合的加速推进，“稻渔+研学”模式在各地蓬勃兴起。该模式以生态种养为基底，以教育体验为纽带，以产业融合为方向，有效打通了农业生产、科普教育与乡村旅游的价值链条，进一步拓展了稻渔产业社会服务功能。湖南稻渔种养基地每年接待学生研学超10万人次。广西融水苗乡依托千年稻渔共生传统，打造“稻渔文化研学”品牌，仅2025年10月上旬就接待研学团队50余批，带动周边民宿与餐饮收入增长30%。</w:t>
      </w:r>
      <w:r>
        <w:rPr>
          <w:rFonts w:eastAsiaTheme="minorEastAsia"/>
          <w:b/>
          <w:bCs/>
          <w:sz w:val="24"/>
        </w:rPr>
        <w:t>“稻渔+文化”深入人心。</w:t>
      </w:r>
      <w:r>
        <w:rPr>
          <w:rFonts w:eastAsiaTheme="minorEastAsia"/>
          <w:sz w:val="24"/>
        </w:rPr>
        <w:t>部分地方充分挖掘稻渔综合种养相关农耕文化、农业文化遗产、民俗文化、节庆文化、地域文化等，开展稻渔相关节庆活动，树立城市特色文化IP与地标，提高了相关产业品牌影响力，同时也有效刺激或拉动消费需求。湖北潜江打造龙虾卡通吉祥物、文创产品，将龙虾元素融入城市公共空间，举办万人龙虾宴、音乐嘉年华、戏剧演艺等文化活动，形成城市特有文化符号。浙江青田依托拥有1300多年历史的“稻鱼共生系统”，全力打造“稻鱼小镇”，推出“农遗精品旅游线”，常态化举办开镰节、丰收节、“稻鱼之恋”文化节等活动，年接待游客超过50万人次，旅游收入突破4700万元。</w:t>
      </w:r>
    </w:p>
    <w:p w14:paraId="689B997F">
      <w:pPr>
        <w:spacing w:line="360" w:lineRule="auto"/>
        <w:ind w:firstLine="482" w:firstLineChars="200"/>
        <w:rPr>
          <w:rFonts w:eastAsiaTheme="minorEastAsia"/>
          <w:b/>
          <w:bCs/>
          <w:sz w:val="24"/>
        </w:rPr>
      </w:pPr>
      <w:r>
        <w:rPr>
          <w:rFonts w:eastAsiaTheme="minorEastAsia"/>
          <w:b/>
          <w:bCs/>
          <w:sz w:val="24"/>
        </w:rPr>
        <w:t>（五）稻渔产品优质安全</w:t>
      </w:r>
    </w:p>
    <w:p w14:paraId="5EC812E4">
      <w:pPr>
        <w:spacing w:line="360" w:lineRule="auto"/>
        <w:ind w:firstLine="480" w:firstLineChars="200"/>
        <w:rPr>
          <w:rFonts w:eastAsiaTheme="minorEastAsia"/>
          <w:sz w:val="24"/>
        </w:rPr>
      </w:pPr>
      <w:r>
        <w:rPr>
          <w:rFonts w:eastAsiaTheme="minorEastAsia"/>
          <w:sz w:val="24"/>
        </w:rPr>
        <w:t>“十四五”期间，随着稻渔综合种养产业加快发展和水产品质量监管不断加强，稻渔种养主体更加重视稻渔产品质量安全和品质提升。稻渔产品凭借绿色生态的生产方式和良好的自然生长环境，在口感、营养价值和安全性上均表现出显著优势，已成为高品质农产品的代表。</w:t>
      </w:r>
    </w:p>
    <w:p w14:paraId="04EDDF64">
      <w:pPr>
        <w:spacing w:line="360" w:lineRule="auto"/>
        <w:ind w:firstLine="482" w:firstLineChars="200"/>
        <w:rPr>
          <w:rFonts w:eastAsiaTheme="minorEastAsia"/>
          <w:b/>
          <w:bCs/>
          <w:sz w:val="24"/>
        </w:rPr>
      </w:pPr>
      <w:r>
        <w:rPr>
          <w:rFonts w:eastAsiaTheme="minorEastAsia"/>
          <w:b/>
          <w:bCs/>
          <w:sz w:val="24"/>
        </w:rPr>
        <w:t>1.产品品质</w:t>
      </w:r>
    </w:p>
    <w:p w14:paraId="197D8A91">
      <w:pPr>
        <w:spacing w:line="360" w:lineRule="auto"/>
        <w:ind w:firstLine="480" w:firstLineChars="200"/>
        <w:rPr>
          <w:rFonts w:eastAsiaTheme="minorEastAsia"/>
          <w:sz w:val="24"/>
        </w:rPr>
      </w:pPr>
      <w:r>
        <w:rPr>
          <w:rFonts w:eastAsiaTheme="minorEastAsia"/>
          <w:sz w:val="24"/>
        </w:rPr>
        <w:t>稻渔综合种养模式赋予其水产品独特的品质优势，这种优势体现在感官特征、营养构成、生态安全及品牌认证等多个方面。一是肉质口感较好。稻渔模式养殖对象活动空间充足，摄食天然饵料丰富，产出水产品肉质通常更为紧实、富有弹性，土腥味较轻。二是营养成分丰富。稻渔模式能够改善水产品的营养结构，检测数据显示，稻渔模式养殖小龙虾蛋白质含量较传统池塘养殖高，必需氨基酸、多不饱和脂肪酸含量也有所提升。三是生态安全性高。种养模式减少化肥、农药使用量，且养殖密度更低，病害发生更少，药物残留风险远低于其他养殖模式。四是产品品质认可度高。稻渔模式推动多地特色水产品获得国家地理标志、全国名特优新农产品及绿色有机认证，显著提升品牌价值与市场竞争力，稻渔产业已涌现出一批高价值的品牌，比如“潜江龙虾”“盘锦河蟹”等。</w:t>
      </w:r>
    </w:p>
    <w:p w14:paraId="3E7B15E3">
      <w:pPr>
        <w:spacing w:line="360" w:lineRule="auto"/>
        <w:ind w:firstLine="482" w:firstLineChars="200"/>
        <w:rPr>
          <w:rFonts w:eastAsiaTheme="minorEastAsia"/>
          <w:b/>
          <w:bCs/>
          <w:sz w:val="24"/>
        </w:rPr>
      </w:pPr>
      <w:r>
        <w:rPr>
          <w:rFonts w:eastAsiaTheme="minorEastAsia"/>
          <w:b/>
          <w:bCs/>
          <w:sz w:val="24"/>
        </w:rPr>
        <w:t>2.质量安全</w:t>
      </w:r>
    </w:p>
    <w:p w14:paraId="08EFAB1F">
      <w:pPr>
        <w:spacing w:line="360" w:lineRule="auto"/>
        <w:ind w:firstLine="480" w:firstLineChars="200"/>
        <w:rPr>
          <w:rFonts w:eastAsiaTheme="minorEastAsia"/>
          <w:sz w:val="24"/>
        </w:rPr>
      </w:pPr>
      <w:r>
        <w:rPr>
          <w:rFonts w:eastAsiaTheme="minorEastAsia"/>
          <w:sz w:val="24"/>
        </w:rPr>
        <w:t>“十四五”期间，得益于模式自身特性、严格监管以及品牌建设等因素，稻渔综合种养水产品质量安全状况总体良好，重大食品安全事件未见报道。一是生态种养模式筑牢了质量安全根基。稻渔共生形成生态防控体系，水稻与水产品互利共生，减少了化肥农药使用量，从源头上降低了稻渔产品的质量安全风险。二是严格监管强化了质量安全保障。“十四五”期间，各级政府相关部门高度重视稻渔产品的质量安全管理，从制度设计、标准规范以及日常监管等方面守住安全底线。2025年7月，农业农村部发布《关于稳步推进稻渔综合种养产业高质量发展的通知》，要求保障稻渔产品质量安全。组织制定《稻渔综合种养通用技术要求》国家标准，明确投入品使用、产品质量安全控制相关要求，确保生产过程规范。各级渔业主管部门组织开展水产品质量安全专项整治行动，聚焦规范用药、严格准入、强化检测及压实主体责任，初步构建起从养殖源头到市场终端的全链条治理体系，为稻渔产品的质量安全提供了有力保障。三是品牌建设促进质量安全提升。随着经济社会的发展，社会大众对高品质水产品的需求日益增加，稻渔产品的良好品质可以直接转化为市场竞争力和市场溢价，规模种养主体更加注重品牌建设和产品品质提升，主动加强从种苗繁育到加工销售的全链条管理，建立严格的质量追溯体系，确保最终上市产品安全可靠。</w:t>
      </w:r>
    </w:p>
    <w:p w14:paraId="0DE1201D">
      <w:pPr>
        <w:spacing w:line="360" w:lineRule="auto"/>
        <w:ind w:firstLine="482" w:firstLineChars="200"/>
        <w:rPr>
          <w:rFonts w:eastAsiaTheme="minorEastAsia"/>
          <w:b/>
          <w:bCs/>
          <w:sz w:val="24"/>
        </w:rPr>
      </w:pPr>
      <w:r>
        <w:rPr>
          <w:rFonts w:eastAsiaTheme="minorEastAsia"/>
          <w:b/>
          <w:bCs/>
          <w:sz w:val="24"/>
        </w:rPr>
        <w:t>3.药残检测</w:t>
      </w:r>
    </w:p>
    <w:p w14:paraId="2F464FF7">
      <w:pPr>
        <w:spacing w:line="360" w:lineRule="auto"/>
        <w:ind w:firstLine="480" w:firstLineChars="200"/>
        <w:rPr>
          <w:rFonts w:eastAsiaTheme="minorEastAsia"/>
          <w:sz w:val="24"/>
        </w:rPr>
      </w:pPr>
      <w:r>
        <w:rPr>
          <w:rFonts w:eastAsiaTheme="minorEastAsia"/>
          <w:sz w:val="24"/>
        </w:rPr>
        <w:t>目前各地已建立了“国家级监控+省级例行监测+市县日常抽检+企业自检+第三方检测”的水产品药残检测体系，开展常态化检测工作。常规检测指标包括禁限用水产养殖用兽药等。湖南、湖北等省份还开展了农药残留检测，主要检测因水稻种植可能引入的农药，如苄嘧磺隆、双草醚、吡蚜酮、氯虫苯甲酰胺等。检测环节覆盖苗种生产到市场销售全链条，重点强化出塘前的“关口”检测。根据各地的监测数据和风险评估报告，稻渔综合种养水产品的药残检测结果优良。近5年来，在农业农村组织开展的产地水产品药残抽检和市场水产品质量安全风险监测中，稻渔综合种养水产品的抽检合格率均达到98%以上。</w:t>
      </w:r>
    </w:p>
    <w:p w14:paraId="559DB8FC">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全国水产技术推广总站、中国水产学会</w:t>
      </w:r>
    </w:p>
    <w:p w14:paraId="5B13487B">
      <w:pPr>
        <w:spacing w:line="360" w:lineRule="auto"/>
        <w:ind w:firstLine="426"/>
        <w:jc w:val="right"/>
        <w:rPr>
          <w:rFonts w:eastAsiaTheme="minorEastAsia"/>
          <w:szCs w:val="21"/>
        </w:rPr>
      </w:pPr>
    </w:p>
    <w:p w14:paraId="01E73FC8">
      <w:pPr>
        <w:spacing w:line="360" w:lineRule="auto"/>
        <w:jc w:val="center"/>
        <w:outlineLvl w:val="1"/>
        <w:rPr>
          <w:rFonts w:eastAsia="黑体"/>
          <w:b/>
          <w:bCs/>
          <w:sz w:val="32"/>
          <w:szCs w:val="32"/>
        </w:rPr>
      </w:pPr>
      <w:bookmarkStart w:id="6" w:name="_Toc239087987"/>
      <w:r>
        <w:rPr>
          <w:rFonts w:hint="eastAsia" w:eastAsia="黑体"/>
          <w:b/>
          <w:bCs/>
          <w:sz w:val="32"/>
          <w:szCs w:val="32"/>
        </w:rPr>
        <w:t>2026年9月全国水产养殖病害预测预报</w:t>
      </w:r>
      <w:bookmarkEnd w:id="6"/>
    </w:p>
    <w:p w14:paraId="6A60282D">
      <w:pPr>
        <w:spacing w:line="360" w:lineRule="auto"/>
        <w:ind w:firstLine="480" w:firstLineChars="200"/>
        <w:rPr>
          <w:rFonts w:eastAsiaTheme="minorEastAsia"/>
          <w:sz w:val="24"/>
        </w:rPr>
      </w:pPr>
      <w:r>
        <w:rPr>
          <w:rFonts w:hint="eastAsia" w:eastAsiaTheme="minorEastAsia"/>
          <w:sz w:val="24"/>
        </w:rPr>
        <w:t>为保障水产品质量安全，抓好水产养殖病害防控工作，从源头降低病害发生风险，减少用药，推动实现“质量安全、尾水达标、环境优美、渔民增收”相统一的高质量水产养殖。全国水产技术推广总站、农业农村部水产养殖病害防治专家委员会根据近年同期全国水产养殖病情测报数据和今年天气情况，对9月易发疾病进行了预测，供参考。</w:t>
      </w:r>
    </w:p>
    <w:p w14:paraId="1F8697FA">
      <w:pPr>
        <w:spacing w:line="360" w:lineRule="auto"/>
        <w:ind w:firstLine="480" w:firstLineChars="200"/>
        <w:rPr>
          <w:rFonts w:eastAsiaTheme="minorEastAsia"/>
          <w:sz w:val="24"/>
        </w:rPr>
      </w:pPr>
      <w:r>
        <w:rPr>
          <w:rFonts w:hint="eastAsia" w:eastAsiaTheme="minorEastAsia"/>
          <w:sz w:val="24"/>
        </w:rPr>
        <w:t>9月正处在夏秋转换关键期，全国大部分地区气温逐渐回落，昼夜温差拉大，养殖水体上下对流频繁，水质、底质恶化风险突出。此阶段存塘水产品规格大、密度高、代谢旺盛，易受温差刺激发生应激。因此，建议广大养殖场（户）加强养殖生产管理，做好病害防控工作，切实守好“金九银十”丰收关键期。</w:t>
      </w:r>
    </w:p>
    <w:p w14:paraId="33B384B4">
      <w:pPr>
        <w:spacing w:line="360" w:lineRule="auto"/>
        <w:ind w:firstLine="482" w:firstLineChars="200"/>
        <w:rPr>
          <w:rFonts w:eastAsiaTheme="minorEastAsia"/>
          <w:b/>
          <w:bCs/>
          <w:sz w:val="24"/>
        </w:rPr>
      </w:pPr>
      <w:r>
        <w:rPr>
          <w:rFonts w:hint="eastAsia" w:eastAsiaTheme="minorEastAsia"/>
          <w:b/>
          <w:bCs/>
          <w:sz w:val="24"/>
        </w:rPr>
        <w:t>一、易发疾病</w:t>
      </w:r>
    </w:p>
    <w:p w14:paraId="6AD8F333">
      <w:pPr>
        <w:spacing w:line="360" w:lineRule="auto"/>
        <w:ind w:firstLine="480" w:firstLineChars="200"/>
        <w:rPr>
          <w:rFonts w:eastAsiaTheme="minorEastAsia"/>
          <w:sz w:val="24"/>
        </w:rPr>
      </w:pPr>
      <w:r>
        <w:rPr>
          <w:rFonts w:eastAsiaTheme="minorEastAsia"/>
          <w:sz w:val="24"/>
        </w:rPr>
        <w:t>9月水产养殖应该重点关注草鱼出血病、鲫造血器官坏死病、淡水鱼细菌性败血症、细菌性肠炎病、柱状黄杆菌病、链球菌病、诺卡氏菌病、车轮虫病、锚头鳋病、刺激隐核虫病、白斑综合征、十足目虹彩病毒病、急性肝胰腺坏死病、虾肝肠胞虫病、河蟹螺原体病等。</w:t>
      </w:r>
    </w:p>
    <w:p w14:paraId="17BDA814">
      <w:pPr>
        <w:spacing w:line="360" w:lineRule="auto"/>
        <w:ind w:firstLine="482" w:firstLineChars="200"/>
        <w:rPr>
          <w:rFonts w:eastAsiaTheme="minorEastAsia"/>
          <w:b/>
          <w:bCs/>
          <w:sz w:val="24"/>
        </w:rPr>
      </w:pPr>
      <w:r>
        <w:rPr>
          <w:rFonts w:eastAsiaTheme="minorEastAsia"/>
          <w:b/>
          <w:bCs/>
          <w:sz w:val="24"/>
        </w:rPr>
        <w:t>（一）鱼类疾病</w:t>
      </w:r>
    </w:p>
    <w:p w14:paraId="48F431C2">
      <w:pPr>
        <w:spacing w:line="360" w:lineRule="auto"/>
        <w:ind w:firstLine="482" w:firstLineChars="200"/>
        <w:rPr>
          <w:rFonts w:eastAsiaTheme="minorEastAsia"/>
          <w:sz w:val="24"/>
        </w:rPr>
      </w:pPr>
      <w:r>
        <w:rPr>
          <w:rFonts w:eastAsiaTheme="minorEastAsia"/>
          <w:b/>
          <w:bCs/>
          <w:sz w:val="24"/>
        </w:rPr>
        <w:t>1.草鱼出血病：</w:t>
      </w:r>
      <w:r>
        <w:rPr>
          <w:rFonts w:eastAsiaTheme="minorEastAsia"/>
          <w:sz w:val="24"/>
        </w:rPr>
        <w:t>病原为草鱼呼肠孤病毒，主要危害草鱼及青鱼，水温20℃～30℃时易发病。患病鱼鳍基或鳃盖出血，解剖查验可见肌肉出血呈鲜红色、肠壁充血、肝脾充血等症状。广东、湖北、湖南等草鱼主养区应重点予以关注并做好预防。</w:t>
      </w:r>
    </w:p>
    <w:p w14:paraId="532054A1">
      <w:pPr>
        <w:spacing w:line="360" w:lineRule="auto"/>
        <w:ind w:firstLine="482" w:firstLineChars="200"/>
        <w:rPr>
          <w:rFonts w:eastAsiaTheme="minorEastAsia"/>
          <w:sz w:val="24"/>
        </w:rPr>
      </w:pPr>
      <w:r>
        <w:rPr>
          <w:rFonts w:eastAsiaTheme="minorEastAsia"/>
          <w:b/>
          <w:bCs/>
          <w:sz w:val="24"/>
        </w:rPr>
        <w:t>2.鲫造血器官坏死病：</w:t>
      </w:r>
      <w:r>
        <w:rPr>
          <w:rFonts w:eastAsiaTheme="minorEastAsia"/>
          <w:sz w:val="24"/>
        </w:rPr>
        <w:t>病原为鲤疱疹病毒Ⅱ型，主要危害金鱼、鲫及鲫杂交变种，水温10℃～33℃时易发病。患病鱼游动缓慢，体表广泛性充血或出血，尤其以鳃盖、下颌、前胸和腹部最为严重。患病鱼解剖后可见淡黄色或红色腹水，肝、脾、肾等器官肿大。江苏、湖北等鲫主养区应重点予以关注并做好预防。</w:t>
      </w:r>
    </w:p>
    <w:p w14:paraId="43F023D7">
      <w:pPr>
        <w:spacing w:line="360" w:lineRule="auto"/>
        <w:ind w:firstLine="482" w:firstLineChars="200"/>
        <w:rPr>
          <w:rFonts w:eastAsiaTheme="minorEastAsia"/>
          <w:sz w:val="24"/>
        </w:rPr>
      </w:pPr>
      <w:r>
        <w:rPr>
          <w:rFonts w:eastAsiaTheme="minorEastAsia"/>
          <w:b/>
          <w:bCs/>
          <w:sz w:val="24"/>
        </w:rPr>
        <w:t>3.淡水鱼细菌性败血症：</w:t>
      </w:r>
      <w:r>
        <w:rPr>
          <w:rFonts w:eastAsiaTheme="minorEastAsia"/>
          <w:sz w:val="24"/>
        </w:rPr>
        <w:t>病原为嗜水气单胞菌、温和气单胞菌等多种细菌，危害鲫、鳊、鲢、鳙、乌鳢、黄鳝等多种淡水鱼类，水温9℃～36℃时易发病。病鱼离群缓慢游动，眼球突出，体表充血，鳃、肝、肾颜色较淡，呈花斑状。病情严重时死亡率达90%以上。全国各淡水养鱼地区需重点防控。</w:t>
      </w:r>
    </w:p>
    <w:p w14:paraId="6BBD6376">
      <w:pPr>
        <w:spacing w:line="360" w:lineRule="auto"/>
        <w:ind w:firstLine="482" w:firstLineChars="200"/>
        <w:rPr>
          <w:rFonts w:eastAsiaTheme="minorEastAsia"/>
          <w:sz w:val="24"/>
        </w:rPr>
      </w:pPr>
      <w:r>
        <w:rPr>
          <w:rFonts w:eastAsiaTheme="minorEastAsia"/>
          <w:b/>
          <w:bCs/>
          <w:sz w:val="24"/>
        </w:rPr>
        <w:t>4.细菌性肠炎病：</w:t>
      </w:r>
      <w:r>
        <w:rPr>
          <w:rFonts w:eastAsiaTheme="minorEastAsia"/>
          <w:sz w:val="24"/>
        </w:rPr>
        <w:t>病原为肠型点状气单胞菌、豚鼠气单胞菌、嗜水气单胞菌等革兰氏阴性短杆菌，主要危害草鱼、青鱼、鲤、大口黑鲈、泥鳅等淡水鱼类，水温在18℃以上开始流行。患病鱼肛门红肿外突，解剖查验可见肠道充血发红，尤以肠后段明显。全国各鱼类养殖地区均应重点防控。</w:t>
      </w:r>
    </w:p>
    <w:p w14:paraId="45E2815C">
      <w:pPr>
        <w:spacing w:line="360" w:lineRule="auto"/>
        <w:ind w:firstLine="482" w:firstLineChars="200"/>
        <w:rPr>
          <w:rFonts w:eastAsiaTheme="minorEastAsia"/>
          <w:sz w:val="24"/>
        </w:rPr>
      </w:pPr>
      <w:r>
        <w:rPr>
          <w:rFonts w:eastAsiaTheme="minorEastAsia"/>
          <w:b/>
          <w:bCs/>
          <w:sz w:val="24"/>
        </w:rPr>
        <w:t>5.柱状黄杆菌病：</w:t>
      </w:r>
      <w:r>
        <w:rPr>
          <w:rFonts w:eastAsiaTheme="minorEastAsia"/>
          <w:sz w:val="24"/>
        </w:rPr>
        <w:t>俗称“烂鳃病”，是一种比较常见的鱼病，传播快，病程长，一经发病便难以控制其蔓延。该病在水温15℃以上开始发病，20℃以上开始流行。危害品种主要有草鱼、青鱼、鲤、鲫、鳊、鲢、大口黑鲈等，应引起全国各淡水鱼类养殖地区的重视。</w:t>
      </w:r>
    </w:p>
    <w:p w14:paraId="4099EA09">
      <w:pPr>
        <w:spacing w:line="360" w:lineRule="auto"/>
        <w:ind w:firstLine="482" w:firstLineChars="200"/>
        <w:rPr>
          <w:rFonts w:eastAsiaTheme="minorEastAsia"/>
          <w:sz w:val="24"/>
        </w:rPr>
      </w:pPr>
      <w:r>
        <w:rPr>
          <w:rFonts w:eastAsiaTheme="minorEastAsia"/>
          <w:b/>
          <w:bCs/>
          <w:sz w:val="24"/>
        </w:rPr>
        <w:t>6.链球菌病：</w:t>
      </w:r>
      <w:r>
        <w:rPr>
          <w:rFonts w:eastAsiaTheme="minorEastAsia"/>
          <w:sz w:val="24"/>
        </w:rPr>
        <w:t>病原为海豚链球菌、无乳链球菌等革兰氏阳性菌，主要危害罗非鱼。水温25℃～35℃时流行，高于28℃时易暴发。患病鱼游动异常，眼球突出，鳃盖内侧发红、充血或出血。广东、海南等罗非鱼主养区应重点予以关注并做好预防。</w:t>
      </w:r>
    </w:p>
    <w:p w14:paraId="7BB9A117">
      <w:pPr>
        <w:spacing w:line="360" w:lineRule="auto"/>
        <w:ind w:firstLine="482" w:firstLineChars="200"/>
        <w:rPr>
          <w:rFonts w:eastAsiaTheme="minorEastAsia"/>
          <w:sz w:val="24"/>
        </w:rPr>
      </w:pPr>
      <w:r>
        <w:rPr>
          <w:rFonts w:eastAsiaTheme="minorEastAsia"/>
          <w:b/>
          <w:bCs/>
          <w:sz w:val="24"/>
        </w:rPr>
        <w:t>7.诺卡氏菌病：</w:t>
      </w:r>
      <w:r>
        <w:rPr>
          <w:rFonts w:eastAsiaTheme="minorEastAsia"/>
          <w:sz w:val="24"/>
        </w:rPr>
        <w:t>病原为鰤鱼诺卡氏菌等，主要危害鰤、大口黑鲈、乌鳢等鱼类，水温25℃以上易发病。患病鱼体表隆起大小不一、形状不规则的结节，剖开结节后有白色或稍带红色的脓汁流出；肝、脾、肾等内脏器官也出现白色点状结节。全国各大口黑鲈养殖区和乌鳢养殖区需重点防控。</w:t>
      </w:r>
    </w:p>
    <w:p w14:paraId="2FEC1AF9">
      <w:pPr>
        <w:spacing w:line="360" w:lineRule="auto"/>
        <w:ind w:firstLine="482" w:firstLineChars="200"/>
        <w:rPr>
          <w:rFonts w:eastAsiaTheme="minorEastAsia"/>
          <w:sz w:val="24"/>
        </w:rPr>
      </w:pPr>
      <w:r>
        <w:rPr>
          <w:rFonts w:eastAsiaTheme="minorEastAsia"/>
          <w:b/>
          <w:bCs/>
          <w:sz w:val="24"/>
        </w:rPr>
        <w:t>8.车轮虫病：</w:t>
      </w:r>
      <w:r>
        <w:rPr>
          <w:rFonts w:eastAsiaTheme="minorEastAsia"/>
          <w:sz w:val="24"/>
        </w:rPr>
        <w:t>病原为车轮虫，主要危害各种淡水和半咸水鱼类，一年四季均可发生，适宜水温20℃～28℃。车轮虫一般寄生在鱼类体表、鳃和鼻孔处，大量寄生时会刺激鳃丝分泌黏液，形成黏液层，妨碍病鱼呼吸。全国各淡水及半咸水养鱼地区需重点防控。</w:t>
      </w:r>
    </w:p>
    <w:p w14:paraId="4461FE4F">
      <w:pPr>
        <w:spacing w:line="360" w:lineRule="auto"/>
        <w:ind w:firstLine="482" w:firstLineChars="200"/>
        <w:rPr>
          <w:rFonts w:eastAsiaTheme="minorEastAsia"/>
          <w:sz w:val="24"/>
        </w:rPr>
      </w:pPr>
      <w:r>
        <w:rPr>
          <w:rFonts w:eastAsiaTheme="minorEastAsia"/>
          <w:b/>
          <w:bCs/>
          <w:sz w:val="24"/>
        </w:rPr>
        <w:t>9.锚头鳋病：</w:t>
      </w:r>
      <w:r>
        <w:rPr>
          <w:rFonts w:eastAsiaTheme="minorEastAsia"/>
          <w:sz w:val="24"/>
        </w:rPr>
        <w:t>病原为锚头鳋，主要危害鲤、鲫、鲢、鳙、草鱼等淡水鱼类，繁殖适温为12℃～33℃。锚头鳋一般寄生在鱼类肌肉、鳞下、口腔等部位，患病鱼食欲减退、身体瘦弱、烦躁不安，体表或鳞片腹面可见细针状虫体。全国各淡水鱼类养殖地区均需重视。</w:t>
      </w:r>
    </w:p>
    <w:p w14:paraId="1FF6EE5B">
      <w:pPr>
        <w:spacing w:line="360" w:lineRule="auto"/>
        <w:ind w:firstLine="482" w:firstLineChars="200"/>
        <w:rPr>
          <w:rFonts w:eastAsiaTheme="minorEastAsia"/>
          <w:sz w:val="24"/>
        </w:rPr>
      </w:pPr>
      <w:r>
        <w:rPr>
          <w:rFonts w:eastAsiaTheme="minorEastAsia"/>
          <w:b/>
          <w:bCs/>
          <w:sz w:val="24"/>
        </w:rPr>
        <w:t>10.刺激隐核虫病：</w:t>
      </w:r>
      <w:r>
        <w:rPr>
          <w:rFonts w:eastAsiaTheme="minorEastAsia"/>
          <w:sz w:val="24"/>
        </w:rPr>
        <w:t>俗称“海水小瓜虫病”，病原为刺激隐核虫，主要危害大黄鱼、卵形鲳鲹和石斑鱼等海水鱼类，水温10℃～30℃时易发病，22℃～26℃时为流行高峰。患病鱼游动缓慢，鱼体瘦弱，体表、眼角膜、鳃和口腔周围可观察到小白点。沿海各省份应重点予以关注并做好预防。</w:t>
      </w:r>
    </w:p>
    <w:p w14:paraId="07F836BD">
      <w:pPr>
        <w:spacing w:line="360" w:lineRule="auto"/>
        <w:ind w:firstLine="482" w:firstLineChars="200"/>
        <w:rPr>
          <w:rFonts w:eastAsiaTheme="minorEastAsia"/>
          <w:b/>
          <w:bCs/>
          <w:sz w:val="24"/>
        </w:rPr>
      </w:pPr>
      <w:r>
        <w:rPr>
          <w:rFonts w:eastAsiaTheme="minorEastAsia"/>
          <w:b/>
          <w:bCs/>
          <w:sz w:val="24"/>
        </w:rPr>
        <w:t>（二）甲壳类疾病</w:t>
      </w:r>
    </w:p>
    <w:p w14:paraId="5A64527B">
      <w:pPr>
        <w:spacing w:line="360" w:lineRule="auto"/>
        <w:ind w:firstLine="482" w:firstLineChars="200"/>
        <w:rPr>
          <w:rFonts w:eastAsiaTheme="minorEastAsia"/>
          <w:sz w:val="24"/>
        </w:rPr>
      </w:pPr>
      <w:r>
        <w:rPr>
          <w:rFonts w:eastAsiaTheme="minorEastAsia"/>
          <w:b/>
          <w:bCs/>
          <w:sz w:val="24"/>
        </w:rPr>
        <w:t>1.白斑综合征：</w:t>
      </w:r>
      <w:r>
        <w:rPr>
          <w:rFonts w:eastAsiaTheme="minorEastAsia"/>
          <w:sz w:val="24"/>
        </w:rPr>
        <w:t>病原为白斑综合征病毒，主要危害对虾、克氏原螯虾、中华绒螯蟹等甲壳类动物，水温20℃～30℃易发病。该病发病急，死亡率高。病虾行动异常，甲壳上出现白点，白点直径小于3毫米或连成片。各对虾主养区应重点予以关注并做好预防。</w:t>
      </w:r>
    </w:p>
    <w:p w14:paraId="557EA22E">
      <w:pPr>
        <w:spacing w:line="360" w:lineRule="auto"/>
        <w:ind w:firstLine="482" w:firstLineChars="200"/>
        <w:rPr>
          <w:rFonts w:eastAsiaTheme="minorEastAsia"/>
          <w:sz w:val="24"/>
        </w:rPr>
      </w:pPr>
      <w:r>
        <w:rPr>
          <w:rFonts w:eastAsiaTheme="minorEastAsia"/>
          <w:b/>
          <w:bCs/>
          <w:sz w:val="24"/>
        </w:rPr>
        <w:t>2.十足目虹彩病毒病：</w:t>
      </w:r>
      <w:r>
        <w:rPr>
          <w:rFonts w:eastAsiaTheme="minorEastAsia"/>
          <w:sz w:val="24"/>
        </w:rPr>
        <w:t>病原为十足目虹彩病毒1，主要危害南美白对虾、罗氏沼虾、日本沼虾、克氏原螯虾等，水温16℃～32℃易发病。病虾活力下降、停止摄食，额剑基部甲壳下呈现白色三角区域病变，俗称“白头”。各南美白对虾、罗氏沼虾主养区应重点予以关注并做好预防。</w:t>
      </w:r>
    </w:p>
    <w:p w14:paraId="5F35209A">
      <w:pPr>
        <w:spacing w:line="360" w:lineRule="auto"/>
        <w:ind w:firstLine="482" w:firstLineChars="200"/>
        <w:rPr>
          <w:rFonts w:eastAsiaTheme="minorEastAsia"/>
          <w:sz w:val="24"/>
        </w:rPr>
      </w:pPr>
      <w:r>
        <w:rPr>
          <w:rFonts w:eastAsiaTheme="minorEastAsia"/>
          <w:b/>
          <w:bCs/>
          <w:sz w:val="24"/>
        </w:rPr>
        <w:t>3.急性肝胰腺坏死病：</w:t>
      </w:r>
      <w:r>
        <w:rPr>
          <w:rFonts w:eastAsiaTheme="minorEastAsia"/>
          <w:sz w:val="24"/>
        </w:rPr>
        <w:t>病原为携带特定毒力基因的弧菌，包括副溶血弧菌、哈维氏弧菌等，主要危害对虾。病虾活力下降，肝胰腺变白、萎缩并出现黑色斑点和条纹。各对虾主养区应重点予以关注并做好预防。</w:t>
      </w:r>
    </w:p>
    <w:p w14:paraId="2AB2B088">
      <w:pPr>
        <w:spacing w:line="360" w:lineRule="auto"/>
        <w:ind w:firstLine="482" w:firstLineChars="200"/>
        <w:rPr>
          <w:rFonts w:eastAsiaTheme="minorEastAsia"/>
          <w:sz w:val="24"/>
        </w:rPr>
      </w:pPr>
      <w:r>
        <w:rPr>
          <w:rFonts w:eastAsiaTheme="minorEastAsia"/>
          <w:b/>
          <w:bCs/>
          <w:sz w:val="24"/>
        </w:rPr>
        <w:t>4.虾肝肠胞虫病：</w:t>
      </w:r>
      <w:r>
        <w:rPr>
          <w:rFonts w:eastAsiaTheme="minorEastAsia"/>
          <w:sz w:val="24"/>
        </w:rPr>
        <w:t>病原为虾肝肠胞虫，主要危害对虾，发病水温为24℃～31℃。病虾出现个体瘦小、肝胰腺颜色深、群体中体长差异大等症状。各对虾主养区需重点防控。</w:t>
      </w:r>
    </w:p>
    <w:p w14:paraId="5CF68C6D">
      <w:pPr>
        <w:spacing w:line="360" w:lineRule="auto"/>
        <w:ind w:firstLine="482" w:firstLineChars="200"/>
        <w:rPr>
          <w:rFonts w:eastAsiaTheme="minorEastAsia"/>
          <w:sz w:val="24"/>
        </w:rPr>
      </w:pPr>
      <w:r>
        <w:rPr>
          <w:rFonts w:eastAsiaTheme="minorEastAsia"/>
          <w:b/>
          <w:bCs/>
          <w:sz w:val="24"/>
        </w:rPr>
        <w:t>5.河蟹螺原体病：</w:t>
      </w:r>
      <w:r>
        <w:rPr>
          <w:rFonts w:eastAsiaTheme="minorEastAsia"/>
          <w:sz w:val="24"/>
        </w:rPr>
        <w:t>俗称河蟹“颤抖病”，病原为螺原体，主要危害中华绒螯蟹等甲壳类动物。江浙一带4～10月时易发病，8～9月为流行高峰期。患病蟹行动迟缓，螯足握力下降，附肢颤抖。解剖可见鳃呈浅棕色甚至黑色，血淋巴稀薄、凝固缓慢或不凝固。江苏、湖北等中华绒螯蟹主养区需重点防控。</w:t>
      </w:r>
    </w:p>
    <w:p w14:paraId="426AA4CC">
      <w:pPr>
        <w:spacing w:line="360" w:lineRule="auto"/>
        <w:ind w:firstLine="482" w:firstLineChars="200"/>
        <w:rPr>
          <w:rFonts w:eastAsiaTheme="minorEastAsia"/>
          <w:b/>
          <w:bCs/>
          <w:sz w:val="24"/>
        </w:rPr>
      </w:pPr>
      <w:r>
        <w:rPr>
          <w:rFonts w:eastAsiaTheme="minorEastAsia"/>
          <w:b/>
          <w:bCs/>
          <w:sz w:val="24"/>
        </w:rPr>
        <w:t>三）部分养殖重点品种疾病</w:t>
      </w:r>
    </w:p>
    <w:p w14:paraId="2823A4E6">
      <w:pPr>
        <w:spacing w:line="360" w:lineRule="auto"/>
        <w:ind w:firstLine="482" w:firstLineChars="200"/>
        <w:rPr>
          <w:rFonts w:eastAsiaTheme="minorEastAsia"/>
          <w:sz w:val="24"/>
        </w:rPr>
      </w:pPr>
      <w:r>
        <w:rPr>
          <w:rFonts w:eastAsiaTheme="minorEastAsia"/>
          <w:b/>
          <w:bCs/>
          <w:sz w:val="24"/>
        </w:rPr>
        <w:t>1.鳊：</w:t>
      </w:r>
      <w:r>
        <w:rPr>
          <w:rFonts w:eastAsiaTheme="minorEastAsia"/>
          <w:sz w:val="24"/>
        </w:rPr>
        <w:t>9月易发疾病有淡水鱼细菌性败血症、细菌性肠炎病、车轮虫病、指环虫病等。</w:t>
      </w:r>
    </w:p>
    <w:p w14:paraId="30FAAA05">
      <w:pPr>
        <w:spacing w:line="360" w:lineRule="auto"/>
        <w:ind w:firstLine="482" w:firstLineChars="200"/>
        <w:rPr>
          <w:rFonts w:eastAsiaTheme="minorEastAsia"/>
          <w:sz w:val="24"/>
        </w:rPr>
      </w:pPr>
      <w:r>
        <w:rPr>
          <w:rFonts w:eastAsiaTheme="minorEastAsia"/>
          <w:b/>
          <w:bCs/>
          <w:sz w:val="24"/>
        </w:rPr>
        <w:t>2.大口黑鲈：</w:t>
      </w:r>
      <w:r>
        <w:rPr>
          <w:rFonts w:eastAsiaTheme="minorEastAsia"/>
          <w:sz w:val="24"/>
        </w:rPr>
        <w:t>9月易发疾病有蛙虹彩病毒病、柱状黄杆菌病、诺卡氏菌病、车轮虫病、肝胆综合征等。</w:t>
      </w:r>
    </w:p>
    <w:p w14:paraId="4D4F1704">
      <w:pPr>
        <w:spacing w:line="360" w:lineRule="auto"/>
        <w:ind w:firstLine="482" w:firstLineChars="200"/>
        <w:rPr>
          <w:rFonts w:eastAsiaTheme="minorEastAsia"/>
          <w:sz w:val="24"/>
        </w:rPr>
      </w:pPr>
      <w:r>
        <w:rPr>
          <w:rFonts w:eastAsiaTheme="minorEastAsia"/>
          <w:b/>
          <w:bCs/>
          <w:sz w:val="24"/>
        </w:rPr>
        <w:t>3.鲫：</w:t>
      </w:r>
      <w:r>
        <w:rPr>
          <w:rFonts w:eastAsiaTheme="minorEastAsia"/>
          <w:sz w:val="24"/>
        </w:rPr>
        <w:t>9月易发疾病有鲫造血器官坏死病、淡水鱼细菌性败血症、细菌性肠炎病、黏孢子虫病、车轮虫病等。</w:t>
      </w:r>
    </w:p>
    <w:p w14:paraId="2C88B749">
      <w:pPr>
        <w:spacing w:line="360" w:lineRule="auto"/>
        <w:ind w:firstLine="482" w:firstLineChars="200"/>
        <w:rPr>
          <w:rFonts w:eastAsiaTheme="minorEastAsia"/>
          <w:sz w:val="24"/>
        </w:rPr>
      </w:pPr>
      <w:r>
        <w:rPr>
          <w:rFonts w:eastAsiaTheme="minorEastAsia"/>
          <w:b/>
          <w:bCs/>
          <w:sz w:val="24"/>
        </w:rPr>
        <w:t>4.乌鳢：</w:t>
      </w:r>
      <w:r>
        <w:rPr>
          <w:rFonts w:eastAsiaTheme="minorEastAsia"/>
          <w:sz w:val="24"/>
        </w:rPr>
        <w:t>9月易发疾病有淡水鱼细菌性败血症、诺卡氏菌病、舒伯特气单胞菌病、锚头鳋病等。</w:t>
      </w:r>
    </w:p>
    <w:p w14:paraId="65D25E45">
      <w:pPr>
        <w:spacing w:line="360" w:lineRule="auto"/>
        <w:ind w:firstLine="482" w:firstLineChars="200"/>
        <w:rPr>
          <w:rFonts w:eastAsiaTheme="minorEastAsia"/>
          <w:sz w:val="24"/>
        </w:rPr>
      </w:pPr>
      <w:r>
        <w:rPr>
          <w:rFonts w:eastAsiaTheme="minorEastAsia"/>
          <w:b/>
          <w:bCs/>
          <w:sz w:val="24"/>
        </w:rPr>
        <w:t>5.黄鳝：</w:t>
      </w:r>
      <w:r>
        <w:rPr>
          <w:rFonts w:eastAsiaTheme="minorEastAsia"/>
          <w:sz w:val="24"/>
        </w:rPr>
        <w:t>9月易发疾病有黄鳝弹状病毒病、淡水鱼细菌性败血症、细菌性肠炎病、腐皮病等。</w:t>
      </w:r>
    </w:p>
    <w:p w14:paraId="4B24E7B9">
      <w:pPr>
        <w:spacing w:line="360" w:lineRule="auto"/>
        <w:ind w:firstLine="482" w:firstLineChars="200"/>
        <w:rPr>
          <w:rFonts w:eastAsiaTheme="minorEastAsia"/>
          <w:sz w:val="24"/>
        </w:rPr>
      </w:pPr>
      <w:r>
        <w:rPr>
          <w:rFonts w:eastAsiaTheme="minorEastAsia"/>
          <w:b/>
          <w:bCs/>
          <w:sz w:val="24"/>
        </w:rPr>
        <w:t>6.泥鳅：</w:t>
      </w:r>
      <w:r>
        <w:rPr>
          <w:rFonts w:eastAsiaTheme="minorEastAsia"/>
          <w:sz w:val="24"/>
        </w:rPr>
        <w:t>9月易发疾病有细菌性肠炎病、腐皮病等。</w:t>
      </w:r>
    </w:p>
    <w:p w14:paraId="449AC468">
      <w:pPr>
        <w:spacing w:line="360" w:lineRule="auto"/>
        <w:ind w:firstLine="482" w:firstLineChars="200"/>
        <w:rPr>
          <w:rFonts w:eastAsiaTheme="minorEastAsia"/>
          <w:sz w:val="24"/>
        </w:rPr>
      </w:pPr>
      <w:r>
        <w:rPr>
          <w:rFonts w:eastAsiaTheme="minorEastAsia"/>
          <w:b/>
          <w:bCs/>
          <w:sz w:val="24"/>
        </w:rPr>
        <w:t>7.牛蛙：</w:t>
      </w:r>
      <w:r>
        <w:rPr>
          <w:rFonts w:eastAsiaTheme="minorEastAsia"/>
          <w:sz w:val="24"/>
        </w:rPr>
        <w:t>9月易发疾病有蛙脑膜炎败血症、细菌性肠炎病、红腿病等。</w:t>
      </w:r>
    </w:p>
    <w:p w14:paraId="4749229B">
      <w:pPr>
        <w:spacing w:line="360" w:lineRule="auto"/>
        <w:ind w:firstLine="482" w:firstLineChars="200"/>
        <w:rPr>
          <w:rFonts w:eastAsiaTheme="minorEastAsia"/>
          <w:b/>
          <w:bCs/>
          <w:sz w:val="24"/>
        </w:rPr>
      </w:pPr>
      <w:r>
        <w:rPr>
          <w:rFonts w:hint="eastAsia" w:eastAsiaTheme="minorEastAsia"/>
          <w:b/>
          <w:bCs/>
          <w:sz w:val="24"/>
        </w:rPr>
        <w:t>二、防控建议</w:t>
      </w:r>
    </w:p>
    <w:p w14:paraId="30ECBDC7">
      <w:pPr>
        <w:spacing w:line="360" w:lineRule="auto"/>
        <w:ind w:firstLine="482" w:firstLineChars="200"/>
        <w:rPr>
          <w:rFonts w:eastAsiaTheme="minorEastAsia"/>
          <w:sz w:val="24"/>
        </w:rPr>
      </w:pPr>
      <w:r>
        <w:rPr>
          <w:rFonts w:eastAsiaTheme="minorEastAsia"/>
          <w:b/>
          <w:bCs/>
          <w:sz w:val="24"/>
        </w:rPr>
        <w:t>（一）合理控制养殖密度。一是</w:t>
      </w:r>
      <w:r>
        <w:rPr>
          <w:rFonts w:eastAsiaTheme="minorEastAsia"/>
          <w:sz w:val="24"/>
        </w:rPr>
        <w:t>立足水域生态环境承载能力，科学调控养殖密度，确保水体溶氧充足，氨氮、亚硝酸盐等关键水质指标稳定在适宜区间，降低养殖对象应激反应，提高抗病力。</w:t>
      </w:r>
      <w:r>
        <w:rPr>
          <w:rFonts w:eastAsiaTheme="minorEastAsia"/>
          <w:b/>
          <w:bCs/>
          <w:sz w:val="24"/>
        </w:rPr>
        <w:t>二是</w:t>
      </w:r>
      <w:r>
        <w:rPr>
          <w:rFonts w:eastAsiaTheme="minorEastAsia"/>
          <w:sz w:val="24"/>
        </w:rPr>
        <w:t>根据不同养殖鱼类食性和栖息水层差异，科学搭配放养品种，促进水体空间和饵料资源充分利用，构建互补共生养殖结构。</w:t>
      </w:r>
      <w:r>
        <w:rPr>
          <w:rFonts w:eastAsiaTheme="minorEastAsia"/>
          <w:b/>
          <w:bCs/>
          <w:sz w:val="24"/>
        </w:rPr>
        <w:t>三是</w:t>
      </w:r>
      <w:r>
        <w:rPr>
          <w:rFonts w:eastAsiaTheme="minorEastAsia"/>
          <w:sz w:val="24"/>
        </w:rPr>
        <w:t>统筹研判市场行情、消费需求、存塘规格和密度情况，适时安排分批捕捞和错峰上市，有效疏导存塘压力，降低因集中出塘引发的价格波动和养殖风险。</w:t>
      </w:r>
    </w:p>
    <w:p w14:paraId="03DFC6E4">
      <w:pPr>
        <w:spacing w:line="360" w:lineRule="auto"/>
        <w:ind w:firstLine="482" w:firstLineChars="200"/>
        <w:rPr>
          <w:rFonts w:eastAsiaTheme="minorEastAsia"/>
          <w:sz w:val="24"/>
        </w:rPr>
      </w:pPr>
      <w:r>
        <w:rPr>
          <w:rFonts w:eastAsiaTheme="minorEastAsia"/>
          <w:b/>
          <w:bCs/>
          <w:sz w:val="24"/>
        </w:rPr>
        <w:t>（二）加强养殖管理。一是</w:t>
      </w:r>
      <w:r>
        <w:rPr>
          <w:rFonts w:eastAsiaTheme="minorEastAsia"/>
          <w:sz w:val="24"/>
        </w:rPr>
        <w:t>强化投喂管理。根据天气、水温和养殖对象摄食活跃度，动态调整投喂量和投喂频次，避免过量投喂造成的饵料浪费和水质恶化。</w:t>
      </w:r>
      <w:r>
        <w:rPr>
          <w:rFonts w:eastAsiaTheme="minorEastAsia"/>
          <w:b/>
          <w:bCs/>
          <w:sz w:val="24"/>
        </w:rPr>
        <w:t>二是</w:t>
      </w:r>
      <w:r>
        <w:rPr>
          <w:rFonts w:eastAsiaTheme="minorEastAsia"/>
          <w:sz w:val="24"/>
        </w:rPr>
        <w:t>强化应急管理。9月极端天气仍较为频繁，建议广大养殖场（户）提前做好养殖设施设备的检修维护，制定完善应急预案，足量储备应急物资，定期组织应急人员培训与演练。同时，要密切关注天气预报和气象灾害预警信息，及时研判、快速响应，采取针对性措施，全力保障人员安全和生产秩序稳定。</w:t>
      </w:r>
      <w:r>
        <w:rPr>
          <w:rFonts w:eastAsiaTheme="minorEastAsia"/>
          <w:b/>
          <w:bCs/>
          <w:sz w:val="24"/>
        </w:rPr>
        <w:t>三是</w:t>
      </w:r>
      <w:r>
        <w:rPr>
          <w:rFonts w:eastAsiaTheme="minorEastAsia"/>
          <w:sz w:val="24"/>
        </w:rPr>
        <w:t>强化病害监测。坚持每日巡塘，观察养殖对象活动状态和体色情况。定期打样抽查，解剖查验内脏器官健康状况。有条件的养殖场可开展病原监测，争取异常情况早发现早确诊，避免盲目用药延误病情。</w:t>
      </w:r>
    </w:p>
    <w:p w14:paraId="675E7BC0">
      <w:pPr>
        <w:spacing w:line="360" w:lineRule="auto"/>
        <w:ind w:firstLine="482" w:firstLineChars="200"/>
        <w:rPr>
          <w:rFonts w:eastAsiaTheme="minorEastAsia"/>
          <w:sz w:val="24"/>
        </w:rPr>
      </w:pPr>
      <w:r>
        <w:rPr>
          <w:rFonts w:eastAsiaTheme="minorEastAsia"/>
          <w:b/>
          <w:bCs/>
          <w:sz w:val="24"/>
        </w:rPr>
        <w:t>（三）科学规范用药。一是</w:t>
      </w:r>
      <w:r>
        <w:rPr>
          <w:rFonts w:eastAsiaTheme="minorEastAsia"/>
          <w:sz w:val="24"/>
        </w:rPr>
        <w:t>坚持从具有《兽药生产许可证》的生产企业或具有《兽药经营许可证》的经营企业购买正规兽药。购买时，注意查看产品是否标注兽药产品批准文号（或进口兽药注册证号）。杜绝购买、使用禁停用药、假劣兽药、原料药、人用药和未批准为水产养殖用兽药的药物。</w:t>
      </w:r>
      <w:r>
        <w:rPr>
          <w:rFonts w:eastAsiaTheme="minorEastAsia"/>
          <w:b/>
          <w:bCs/>
          <w:sz w:val="24"/>
        </w:rPr>
        <w:t>二是</w:t>
      </w:r>
      <w:r>
        <w:rPr>
          <w:rFonts w:eastAsiaTheme="minorEastAsia"/>
          <w:sz w:val="24"/>
        </w:rPr>
        <w:t>注意精准用药、减量用药，有条件的养殖场可以结合药敏试验结果选择敏感药物，避免盲目加大剂量，降低病原耐药风险。</w:t>
      </w:r>
      <w:r>
        <w:rPr>
          <w:rFonts w:eastAsiaTheme="minorEastAsia"/>
          <w:b/>
          <w:bCs/>
          <w:sz w:val="24"/>
        </w:rPr>
        <w:t>三是</w:t>
      </w:r>
      <w:r>
        <w:rPr>
          <w:rFonts w:eastAsiaTheme="minorEastAsia"/>
          <w:sz w:val="24"/>
        </w:rPr>
        <w:t>严格执行休药期，确保上市水产品质量安全达标，从源头确保水产品质量安全。</w:t>
      </w:r>
    </w:p>
    <w:p w14:paraId="2D36C458">
      <w:pPr>
        <w:spacing w:line="360" w:lineRule="auto"/>
        <w:ind w:firstLine="482" w:firstLineChars="200"/>
        <w:rPr>
          <w:rFonts w:eastAsiaTheme="minorEastAsia"/>
          <w:sz w:val="24"/>
        </w:rPr>
      </w:pPr>
      <w:r>
        <w:rPr>
          <w:rFonts w:eastAsiaTheme="minorEastAsia"/>
          <w:b/>
          <w:bCs/>
          <w:sz w:val="24"/>
        </w:rPr>
        <w:t>（四）及时报告疫情。</w:t>
      </w:r>
      <w:r>
        <w:rPr>
          <w:rFonts w:eastAsiaTheme="minorEastAsia"/>
          <w:sz w:val="24"/>
        </w:rPr>
        <w:t>在养殖生产过程中，一旦发现异常情况，应立即按照规定程序上报，做到早发现、早报告、早预警、早处置。相关水生动物疾病防控方法，可登录“全国水生动物疾病远程辅助诊断服务网”（</w:t>
      </w:r>
      <w:r>
        <w:fldChar w:fldCharType="begin"/>
      </w:r>
      <w:r>
        <w:instrText xml:space="preserve"> HYPERLINK "http://www.adds.org.cn/" \t "_blank" </w:instrText>
      </w:r>
      <w:r>
        <w:fldChar w:fldCharType="separate"/>
      </w:r>
      <w:r>
        <w:rPr>
          <w:rStyle w:val="24"/>
          <w:rFonts w:eastAsiaTheme="minorEastAsia"/>
          <w:sz w:val="24"/>
        </w:rPr>
        <w:t>www.adds.org.cn</w:t>
      </w:r>
      <w:r>
        <w:rPr>
          <w:rStyle w:val="24"/>
          <w:rFonts w:eastAsiaTheme="minorEastAsia"/>
          <w:sz w:val="24"/>
        </w:rPr>
        <w:fldChar w:fldCharType="end"/>
      </w:r>
      <w:r>
        <w:rPr>
          <w:rFonts w:eastAsiaTheme="minorEastAsia"/>
          <w:sz w:val="24"/>
        </w:rPr>
        <w:t>），在“常见疾病”中查询，或通过“自助诊断”及“专家诊室”进行诊断或咨询。</w:t>
      </w:r>
    </w:p>
    <w:p w14:paraId="68E9A059">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全国水产技术推广总站、农业农村部水产养殖病害防治专家委员会</w:t>
      </w:r>
    </w:p>
    <w:p w14:paraId="2D46077D">
      <w:pPr>
        <w:spacing w:line="360" w:lineRule="auto"/>
        <w:ind w:firstLine="426"/>
        <w:jc w:val="right"/>
        <w:rPr>
          <w:rFonts w:eastAsiaTheme="minorEastAsia"/>
          <w:szCs w:val="21"/>
        </w:rPr>
      </w:pPr>
    </w:p>
    <w:p w14:paraId="547E1D3A">
      <w:pPr>
        <w:spacing w:line="360" w:lineRule="auto"/>
        <w:jc w:val="center"/>
        <w:outlineLvl w:val="1"/>
        <w:rPr>
          <w:rFonts w:eastAsia="黑体"/>
          <w:b/>
          <w:bCs/>
          <w:sz w:val="32"/>
          <w:szCs w:val="32"/>
        </w:rPr>
      </w:pPr>
      <w:bookmarkStart w:id="7" w:name="_Toc239087988"/>
      <w:r>
        <w:rPr>
          <w:rFonts w:hint="eastAsia" w:eastAsia="黑体"/>
          <w:b/>
          <w:bCs/>
          <w:sz w:val="32"/>
          <w:szCs w:val="32"/>
        </w:rPr>
        <w:t>1—7月水产品产量3737.79万吨</w:t>
      </w:r>
      <w:bookmarkEnd w:id="7"/>
    </w:p>
    <w:p w14:paraId="00F10659">
      <w:pPr>
        <w:spacing w:line="360" w:lineRule="auto"/>
        <w:ind w:firstLine="480" w:firstLineChars="200"/>
        <w:rPr>
          <w:rFonts w:eastAsiaTheme="minorEastAsia"/>
          <w:sz w:val="24"/>
        </w:rPr>
      </w:pPr>
      <w:r>
        <w:rPr>
          <w:rFonts w:hint="eastAsia" w:eastAsiaTheme="minorEastAsia"/>
          <w:sz w:val="24"/>
        </w:rPr>
        <w:t>据对全国20个省（自治区、直辖市）渔业生产统计，2026年1—7月，国内水产品总产量3737.79万吨，同比增长3.96%。其中，海水养殖产量1452.21万吨，同比增长5.11%；海洋捕捞产量351.59万吨，同比下降0.11%；淡水养殖产量1894.20万吨，同比增长3.95%；淡水捕捞产量39.79万吨，同比增长1.11%。</w:t>
      </w:r>
    </w:p>
    <w:p w14:paraId="05341197">
      <w:pPr>
        <w:spacing w:line="360" w:lineRule="auto"/>
        <w:ind w:firstLine="480" w:firstLineChars="200"/>
        <w:rPr>
          <w:rFonts w:eastAsiaTheme="minorEastAsia"/>
          <w:sz w:val="24"/>
        </w:rPr>
      </w:pPr>
      <w:r>
        <w:rPr>
          <w:rFonts w:hint="eastAsia" w:eastAsiaTheme="minorEastAsia"/>
          <w:sz w:val="24"/>
        </w:rPr>
        <w:t>注：20个省（自治区、直辖市）包括北京、天津、河北、辽宁、吉林、黑龙江、上海、江苏、浙江、安徽、福建、江西、山东、湖北、湖南、广东、广西、海南、重庆、四川。</w:t>
      </w:r>
    </w:p>
    <w:p w14:paraId="55E7182B">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农业农村部渔业渔政管理局</w:t>
      </w:r>
    </w:p>
    <w:p w14:paraId="3C423BFC">
      <w:pPr>
        <w:spacing w:line="360" w:lineRule="auto"/>
        <w:jc w:val="center"/>
        <w:outlineLvl w:val="1"/>
        <w:rPr>
          <w:rFonts w:eastAsia="黑体"/>
          <w:b/>
          <w:bCs/>
          <w:sz w:val="32"/>
          <w:szCs w:val="32"/>
        </w:rPr>
      </w:pPr>
      <w:bookmarkStart w:id="8" w:name="_Toc239087989"/>
      <w:r>
        <w:rPr>
          <w:rFonts w:hint="eastAsia" w:eastAsia="黑体"/>
          <w:b/>
          <w:bCs/>
          <w:sz w:val="32"/>
          <w:szCs w:val="32"/>
        </w:rPr>
        <w:t>《水产新品系评价技术规范》行业标准发布</w:t>
      </w:r>
      <w:bookmarkEnd w:id="8"/>
    </w:p>
    <w:p w14:paraId="107BC0D0">
      <w:pPr>
        <w:spacing w:line="360" w:lineRule="auto"/>
        <w:ind w:firstLine="480" w:firstLineChars="200"/>
        <w:rPr>
          <w:rFonts w:eastAsiaTheme="minorEastAsia"/>
          <w:sz w:val="24"/>
        </w:rPr>
      </w:pPr>
      <w:r>
        <w:rPr>
          <w:rFonts w:eastAsiaTheme="minorEastAsia"/>
          <w:sz w:val="24"/>
        </w:rPr>
        <w:t>8月26日，由全国水产技术推广总站牵头组织制定的行业标准《水产新品系评价技术规范》（SC/T 1214—2026）（以下简称“《规范》”），经</w:t>
      </w:r>
      <w:r>
        <w:rPr>
          <w:rFonts w:hint="eastAsia" w:eastAsiaTheme="minorEastAsia"/>
          <w:sz w:val="24"/>
        </w:rPr>
        <w:fldChar w:fldCharType="begin"/>
      </w:r>
      <w:r>
        <w:rPr>
          <w:rFonts w:hint="eastAsia" w:eastAsiaTheme="minorEastAsia"/>
          <w:sz w:val="24"/>
        </w:rPr>
        <w:instrText xml:space="preserve">HYPERLINK "https://www.moa.gov.cn/govpublic/ncpzlaq/202608/t20260828_6487086.htm" \t "_blank"</w:instrText>
      </w:r>
      <w:r>
        <w:rPr>
          <w:rFonts w:hint="eastAsia" w:eastAsiaTheme="minorEastAsia"/>
          <w:sz w:val="24"/>
        </w:rPr>
        <w:fldChar w:fldCharType="separate"/>
      </w:r>
      <w:r>
        <w:rPr>
          <w:rStyle w:val="24"/>
          <w:rFonts w:eastAsiaTheme="minorEastAsia"/>
          <w:sz w:val="24"/>
        </w:rPr>
        <w:t>农业农村部2026年第1056号公告</w:t>
      </w:r>
      <w:r>
        <w:rPr>
          <w:rFonts w:hint="eastAsia" w:eastAsiaTheme="minorEastAsia"/>
          <w:sz w:val="24"/>
        </w:rPr>
        <w:fldChar w:fldCharType="end"/>
      </w:r>
      <w:r>
        <w:rPr>
          <w:rFonts w:eastAsiaTheme="minorEastAsia"/>
          <w:sz w:val="24"/>
        </w:rPr>
        <w:t>发布，将于2027年2月1日起正式实施。《规范》的发布标志着我国水产育种领域长期存在的新品系评价“无标可依”的局面成为历史。</w:t>
      </w:r>
    </w:p>
    <w:p w14:paraId="0A331D9F">
      <w:pPr>
        <w:spacing w:line="360" w:lineRule="auto"/>
        <w:ind w:firstLine="480" w:firstLineChars="200"/>
        <w:rPr>
          <w:rFonts w:eastAsiaTheme="minorEastAsia"/>
          <w:sz w:val="24"/>
        </w:rPr>
      </w:pPr>
      <w:r>
        <w:rPr>
          <w:rFonts w:eastAsiaTheme="minorEastAsia"/>
          <w:sz w:val="24"/>
        </w:rPr>
        <w:t>长期以来，我国水产新品系如何认定，始终缺乏统一、公开、科学的技术规范，实践中多由育种单位自行组织专家评估，标准不一、口径各异，不利于育种材料的规范积累及育种类项目的实施、考核。对此，《规范》系统明确了鱼类、虾蟹类、贝类、藻类、棘皮类、龟鳖类和蛙类等水产新品系的培育方案、表型特征和性能指标、遗传背景分析、小试养殖、档案等要求，描述了相应的评价要求，给出了判定规则，为行业提供了一把统一可参照的“标尺”。</w:t>
      </w:r>
    </w:p>
    <w:p w14:paraId="4BAA750B">
      <w:pPr>
        <w:spacing w:line="360" w:lineRule="auto"/>
        <w:ind w:firstLine="480" w:firstLineChars="200"/>
        <w:rPr>
          <w:rFonts w:eastAsiaTheme="minorEastAsia"/>
          <w:sz w:val="24"/>
        </w:rPr>
      </w:pPr>
      <w:r>
        <w:rPr>
          <w:rFonts w:eastAsiaTheme="minorEastAsia"/>
          <w:sz w:val="24"/>
        </w:rPr>
        <w:t>下一步，全国水产技术推广总站、中国水产学会将同步制定《水产新品系评价工作规程》，启动面向全行业的水产新品系评价工作，为科研院所、高校、企业及各级育种单位提供科学、公正、规范的第三方技术评价服务，助推水产种业创新链条规范化、标准化建设。</w:t>
      </w:r>
    </w:p>
    <w:p w14:paraId="17DB8EFC">
      <w:pPr>
        <w:spacing w:line="360" w:lineRule="auto"/>
        <w:ind w:firstLine="480" w:firstLineChars="200"/>
        <w:rPr>
          <w:rFonts w:eastAsiaTheme="minorEastAsia"/>
          <w:sz w:val="24"/>
        </w:rPr>
      </w:pPr>
    </w:p>
    <w:p w14:paraId="2135608D">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全国水产技术推广总站 中国水产学会</w:t>
      </w:r>
    </w:p>
    <w:p w14:paraId="40C69F86">
      <w:pPr>
        <w:spacing w:line="360" w:lineRule="auto"/>
        <w:ind w:firstLine="426"/>
        <w:jc w:val="right"/>
        <w:rPr>
          <w:rFonts w:eastAsiaTheme="minorEastAsia"/>
          <w:szCs w:val="21"/>
        </w:rPr>
      </w:pPr>
    </w:p>
    <w:p w14:paraId="738C083B">
      <w:pPr>
        <w:spacing w:line="276" w:lineRule="auto"/>
        <w:jc w:val="left"/>
        <w:outlineLvl w:val="0"/>
        <w:rPr>
          <w:rStyle w:val="96"/>
          <w:rFonts w:eastAsia="黑体"/>
          <w:b/>
          <w:bCs/>
          <w:sz w:val="32"/>
          <w:szCs w:val="32"/>
          <w:bdr w:val="single" w:color="auto" w:sz="4" w:space="0"/>
        </w:rPr>
      </w:pPr>
      <w:bookmarkStart w:id="9" w:name="_Toc239087990"/>
      <w:r>
        <w:rPr>
          <w:rStyle w:val="96"/>
          <w:rFonts w:eastAsia="黑体"/>
          <w:b/>
          <w:bCs/>
          <w:sz w:val="32"/>
          <w:szCs w:val="32"/>
          <w:bdr w:val="single" w:color="auto" w:sz="4" w:space="0"/>
        </w:rPr>
        <w:t>行业资讯</w:t>
      </w:r>
      <w:bookmarkEnd w:id="9"/>
    </w:p>
    <w:p w14:paraId="43399A85">
      <w:pPr>
        <w:spacing w:line="360" w:lineRule="auto"/>
        <w:jc w:val="center"/>
        <w:outlineLvl w:val="1"/>
        <w:rPr>
          <w:rFonts w:eastAsia="黑体"/>
          <w:b/>
          <w:bCs/>
          <w:sz w:val="32"/>
          <w:szCs w:val="32"/>
        </w:rPr>
      </w:pPr>
      <w:bookmarkStart w:id="10" w:name="_Toc239087991"/>
      <w:r>
        <w:rPr>
          <w:rFonts w:hint="eastAsia" w:eastAsia="黑体"/>
          <w:b/>
          <w:bCs/>
          <w:sz w:val="32"/>
          <w:szCs w:val="32"/>
        </w:rPr>
        <w:t>媒体聚焦｜新渔光曲 闽东大黄鱼游出大产业</w:t>
      </w:r>
      <w:bookmarkEnd w:id="10"/>
    </w:p>
    <w:p w14:paraId="0B66A1FB">
      <w:pPr>
        <w:spacing w:line="360" w:lineRule="auto"/>
        <w:ind w:firstLine="480" w:firstLineChars="200"/>
        <w:rPr>
          <w:rFonts w:eastAsiaTheme="minorEastAsia"/>
          <w:sz w:val="24"/>
        </w:rPr>
      </w:pPr>
      <w:r>
        <w:rPr>
          <w:rFonts w:eastAsiaTheme="minorEastAsia"/>
          <w:sz w:val="24"/>
        </w:rPr>
        <w:t>清晨的宁德三都澳，碧海粼粼，一座座深水网箱整齐排布。渔民宋向国捧起一尾大黄鱼，金黄的鳞片在阳光下熠熠生辉，引得游客纷纷询价。</w:t>
      </w:r>
    </w:p>
    <w:p w14:paraId="4B8AE065">
      <w:pPr>
        <w:spacing w:line="360" w:lineRule="auto"/>
        <w:ind w:firstLine="480" w:firstLineChars="200"/>
        <w:rPr>
          <w:rFonts w:eastAsiaTheme="minorEastAsia"/>
          <w:sz w:val="24"/>
        </w:rPr>
      </w:pPr>
      <w:r>
        <w:rPr>
          <w:rFonts w:eastAsiaTheme="minorEastAsia"/>
          <w:sz w:val="24"/>
        </w:rPr>
        <w:t>福建宁德素有“中国大黄鱼之乡”的美誉，全产业链产值突破200亿元，全国每5条大黄鱼有4条源自这里。新华社记者近日跟随“活力中国调研行”采访团走进这片“海上牧场”，聆听一条大黄鱼背后的“耕海新声”。</w:t>
      </w:r>
    </w:p>
    <w:p w14:paraId="12AAA441">
      <w:pPr>
        <w:spacing w:line="360" w:lineRule="auto"/>
        <w:ind w:firstLine="480" w:firstLineChars="200"/>
        <w:rPr>
          <w:rFonts w:eastAsiaTheme="minorEastAsia"/>
          <w:sz w:val="24"/>
        </w:rPr>
      </w:pPr>
      <w:r>
        <w:rPr>
          <w:rFonts w:eastAsiaTheme="minorEastAsia"/>
          <w:sz w:val="24"/>
        </w:rPr>
        <w:t>上个世纪末，野生大黄鱼资源衰退，科研人员攻克人工育苗难关，让大黄鱼实现从海洋捕捞走向人工养殖的跨越。如今，现代科技让大黄鱼游上新的台阶。</w:t>
      </w:r>
    </w:p>
    <w:p w14:paraId="47AFC225">
      <w:pPr>
        <w:spacing w:line="360" w:lineRule="auto"/>
        <w:ind w:firstLine="480" w:firstLineChars="200"/>
        <w:rPr>
          <w:rFonts w:eastAsiaTheme="minorEastAsia"/>
          <w:sz w:val="24"/>
        </w:rPr>
      </w:pPr>
      <w:r>
        <w:rPr>
          <w:rFonts w:eastAsiaTheme="minorEastAsia"/>
          <w:sz w:val="24"/>
        </w:rPr>
        <w:t>“过去都是小网箱，一口平均只能产二三十吨，而且容易老化破损，现在用上深水抗风浪网箱，一口平均能产50吨。”宋向国说，养殖空间大了，鱼儿运动量更大，肉质也提升不少。</w:t>
      </w:r>
    </w:p>
    <w:p w14:paraId="27E4EC9B">
      <w:pPr>
        <w:spacing w:line="360" w:lineRule="auto"/>
        <w:ind w:firstLine="480" w:firstLineChars="200"/>
        <w:rPr>
          <w:rFonts w:eastAsiaTheme="minorEastAsia"/>
          <w:sz w:val="24"/>
        </w:rPr>
      </w:pPr>
      <w:r>
        <w:rPr>
          <w:rFonts w:eastAsiaTheme="minorEastAsia"/>
          <w:sz w:val="24"/>
        </w:rPr>
        <w:t>宋向国所在的宁德市官井洋大黄鱼养殖有限公司共有5个养殖基地，年产大黄鱼8500吨左右，近半数产品销往韩国等海外市场。去年，公司还启用了智慧养殖系统，可实时监测海域水温、溶解氧含量、盐度等。</w:t>
      </w:r>
    </w:p>
    <w:p w14:paraId="24375C10">
      <w:pPr>
        <w:spacing w:line="360" w:lineRule="auto"/>
        <w:ind w:firstLine="480" w:firstLineChars="200"/>
        <w:rPr>
          <w:rFonts w:eastAsiaTheme="minorEastAsia"/>
          <w:sz w:val="24"/>
        </w:rPr>
      </w:pPr>
      <w:r>
        <w:rPr>
          <w:rFonts w:eastAsiaTheme="minorEastAsia"/>
          <w:sz w:val="24"/>
        </w:rPr>
        <w:t>宁德市海洋与渔业局副局长游成银说，近年来，宁德市向科技要空间，推动产业向新发展，“我们推动高校科研团队与龙头企业强强联手，培育大黄鱼抗病新品系，使其品质更接近野生状态。</w:t>
      </w:r>
    </w:p>
    <w:p w14:paraId="24E2FD8D">
      <w:pPr>
        <w:spacing w:line="360" w:lineRule="auto"/>
        <w:ind w:firstLine="480" w:firstLineChars="200"/>
        <w:rPr>
          <w:rFonts w:eastAsiaTheme="minorEastAsia"/>
          <w:sz w:val="24"/>
        </w:rPr>
      </w:pPr>
      <w:r>
        <w:rPr>
          <w:rFonts w:eastAsiaTheme="minorEastAsia"/>
          <w:sz w:val="24"/>
        </w:rPr>
        <w:t>”好鱼要有好吃法。在养殖端精益求精的同时，宁德市探索菜品创新、精深加工，实现“一鱼多吃”。</w:t>
      </w:r>
    </w:p>
    <w:p w14:paraId="4AC5C3DF">
      <w:pPr>
        <w:spacing w:line="360" w:lineRule="auto"/>
        <w:ind w:firstLine="480" w:firstLineChars="200"/>
        <w:rPr>
          <w:rFonts w:eastAsiaTheme="minorEastAsia"/>
          <w:sz w:val="24"/>
        </w:rPr>
      </w:pPr>
      <w:r>
        <w:rPr>
          <w:rFonts w:eastAsiaTheme="minorEastAsia"/>
          <w:sz w:val="24"/>
        </w:rPr>
        <w:t>黄鱼煎包、茉莉花熏黄鱼……宁德市蕉城区的一家酒楼内，一桌别出心裁的“黄鱼宴”让食客大快朵颐，大黄鱼被加工成十多道各具特色的创意菜肴。</w:t>
      </w:r>
    </w:p>
    <w:p w14:paraId="575C6828">
      <w:pPr>
        <w:spacing w:line="360" w:lineRule="auto"/>
        <w:ind w:firstLine="480" w:firstLineChars="200"/>
        <w:rPr>
          <w:rFonts w:eastAsiaTheme="minorEastAsia"/>
          <w:sz w:val="24"/>
        </w:rPr>
      </w:pPr>
      <w:r>
        <w:rPr>
          <w:rFonts w:eastAsiaTheme="minorEastAsia"/>
          <w:sz w:val="24"/>
        </w:rPr>
        <w:t>“‘黄鱼宴’推出后吸引了不少消费者，很多外地游客也慕名而来。”三都港海洋食品有限公司市场部品宣主管林兴海说，近年来，公司除了面向商务宴席之外，还针对年轻群体特点开发了剁椒黄鱼翅、去刺黄花鱼柳等菜品，受到消费者欢迎。</w:t>
      </w:r>
    </w:p>
    <w:p w14:paraId="51638869">
      <w:pPr>
        <w:spacing w:line="360" w:lineRule="auto"/>
        <w:ind w:firstLine="480" w:firstLineChars="200"/>
        <w:rPr>
          <w:rFonts w:eastAsiaTheme="minorEastAsia"/>
          <w:sz w:val="24"/>
        </w:rPr>
      </w:pPr>
      <w:r>
        <w:rPr>
          <w:rFonts w:eastAsiaTheme="minorEastAsia"/>
          <w:sz w:val="24"/>
        </w:rPr>
        <w:t>记者了解到，近年来，宁德市联合闽菜大师创新推出上百道大黄鱼菜肴，以“舌尖上的创新”激活大众消费市场。当地还引进X光鱼刺检测、自动化切片等设备，开发出即食食品等产品，推动消费市场向纵深延伸。</w:t>
      </w:r>
    </w:p>
    <w:p w14:paraId="1017BD81">
      <w:pPr>
        <w:spacing w:line="360" w:lineRule="auto"/>
        <w:ind w:firstLine="480" w:firstLineChars="200"/>
        <w:rPr>
          <w:rFonts w:eastAsiaTheme="minorEastAsia"/>
          <w:sz w:val="24"/>
        </w:rPr>
      </w:pPr>
      <w:r>
        <w:rPr>
          <w:rFonts w:eastAsiaTheme="minorEastAsia"/>
          <w:sz w:val="24"/>
        </w:rPr>
        <w:t>一条鱼的价值，不止于鱼肉本身。如今宁德大黄鱼延伸到美食体验、文化创意、滨海旅游等领域，游出三产融合的广阔空间。</w:t>
      </w:r>
    </w:p>
    <w:p w14:paraId="620534B1">
      <w:pPr>
        <w:spacing w:line="360" w:lineRule="auto"/>
        <w:ind w:firstLine="480" w:firstLineChars="200"/>
        <w:rPr>
          <w:rFonts w:eastAsiaTheme="minorEastAsia"/>
          <w:sz w:val="24"/>
        </w:rPr>
      </w:pPr>
      <w:r>
        <w:rPr>
          <w:rFonts w:eastAsiaTheme="minorEastAsia"/>
          <w:sz w:val="24"/>
        </w:rPr>
        <w:t>洗去大黄鱼表面黏液、固定鱼体、涂色拓印……不多时，一条鱼便在纸上初见雏形。在宁德市蕉城区，“90后”鱼拓师陈丹丹用一件件艺术作品，宣传家乡的大黄鱼。</w:t>
      </w:r>
    </w:p>
    <w:p w14:paraId="6BDA5693">
      <w:pPr>
        <w:spacing w:line="360" w:lineRule="auto"/>
        <w:ind w:firstLine="480" w:firstLineChars="200"/>
        <w:rPr>
          <w:rFonts w:eastAsiaTheme="minorEastAsia"/>
          <w:sz w:val="24"/>
        </w:rPr>
      </w:pPr>
      <w:r>
        <w:rPr>
          <w:rFonts w:eastAsiaTheme="minorEastAsia"/>
          <w:sz w:val="24"/>
        </w:rPr>
        <w:t>鱼拓是一种将鱼拓印为画的技艺，已被列入蕉城区区级非物质文化遗产代表性项目。“宁德是大黄鱼之乡，鱼拓又是我国渔文化的瑰宝，希望能够将二者有机融合，孵化出更好的作品。”陈丹丹说，近年来她尝试将鱼拓作品融合到茶具、团扇等文创产品中，用创意讲述闽东的海洋故事。</w:t>
      </w:r>
    </w:p>
    <w:p w14:paraId="5036DE75">
      <w:pPr>
        <w:spacing w:line="360" w:lineRule="auto"/>
        <w:ind w:firstLine="480" w:firstLineChars="200"/>
        <w:rPr>
          <w:rFonts w:eastAsiaTheme="minorEastAsia"/>
          <w:sz w:val="24"/>
        </w:rPr>
      </w:pPr>
      <w:r>
        <w:rPr>
          <w:rFonts w:eastAsiaTheme="minorEastAsia"/>
          <w:sz w:val="24"/>
        </w:rPr>
        <w:t>“我们还挖掘‘官井娘娘与大黄鱼’民间传说故事、推进传说人物形象设计、举办大黄鱼文化节等，让大黄鱼产业链进一步延长。”游成银说，如今这一产业已带动30多万人就业，实现了“一鱼带百业、一链富一方”。</w:t>
      </w:r>
    </w:p>
    <w:p w14:paraId="0B4E9783">
      <w:pPr>
        <w:spacing w:line="360" w:lineRule="auto"/>
        <w:ind w:firstLine="480" w:firstLineChars="200"/>
        <w:rPr>
          <w:rFonts w:eastAsiaTheme="minorEastAsia"/>
          <w:sz w:val="24"/>
        </w:rPr>
      </w:pPr>
    </w:p>
    <w:p w14:paraId="5C22B3DA">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新华社</w:t>
      </w:r>
    </w:p>
    <w:p w14:paraId="116FBBFB">
      <w:pPr>
        <w:spacing w:line="360" w:lineRule="auto"/>
        <w:jc w:val="center"/>
        <w:outlineLvl w:val="1"/>
        <w:rPr>
          <w:rFonts w:eastAsia="黑体"/>
          <w:b/>
          <w:bCs/>
          <w:sz w:val="32"/>
          <w:szCs w:val="32"/>
        </w:rPr>
      </w:pPr>
      <w:bookmarkStart w:id="11" w:name="_Toc239087992"/>
      <w:r>
        <w:rPr>
          <w:rFonts w:hint="eastAsia" w:eastAsia="黑体"/>
          <w:b/>
          <w:bCs/>
          <w:sz w:val="32"/>
          <w:szCs w:val="32"/>
        </w:rPr>
        <w:t>2026年中山公园 “鱼跃中山” 金鱼文化节盛装启幕</w:t>
      </w:r>
      <w:bookmarkEnd w:id="11"/>
    </w:p>
    <w:p w14:paraId="6473A56F">
      <w:pPr>
        <w:spacing w:line="360" w:lineRule="auto"/>
        <w:ind w:firstLine="480" w:firstLineChars="200"/>
        <w:rPr>
          <w:rFonts w:eastAsiaTheme="minorEastAsia"/>
          <w:sz w:val="24"/>
        </w:rPr>
      </w:pPr>
      <w:r>
        <w:rPr>
          <w:rFonts w:eastAsiaTheme="minorEastAsia"/>
          <w:sz w:val="24"/>
        </w:rPr>
        <w:t>碧波轻漾，秋风宜人，锦鳞翩跹，雅韵悠长。8月20日，2026年中山公园“鱼跃中山”金鱼文化节正式拉开帷幕。本届文化节延续前两届成功举办的品牌积淀，深挖中国金鱼文化的历史文脉与匠心传承，融合精品展示、文化科普、科技互动与特色市集，打造一场兼具观赏性、文化性、体验性的园林文旅盛宴，活动将持续至9月6日。</w:t>
      </w:r>
    </w:p>
    <w:p w14:paraId="3D4ACF0B">
      <w:pPr>
        <w:spacing w:line="360" w:lineRule="auto"/>
        <w:ind w:firstLine="482" w:firstLineChars="200"/>
        <w:rPr>
          <w:rFonts w:eastAsiaTheme="minorEastAsia"/>
          <w:b/>
          <w:bCs/>
          <w:sz w:val="24"/>
        </w:rPr>
      </w:pPr>
      <w:r>
        <w:rPr>
          <w:rFonts w:eastAsiaTheme="minorEastAsia"/>
          <w:b/>
          <w:bCs/>
          <w:sz w:val="24"/>
        </w:rPr>
        <w:t>名鱼荟萃 尽展南北金鱼风韵</w:t>
      </w:r>
    </w:p>
    <w:p w14:paraId="4400A58F">
      <w:pPr>
        <w:spacing w:line="360" w:lineRule="auto"/>
        <w:ind w:firstLine="480" w:firstLineChars="200"/>
        <w:rPr>
          <w:rFonts w:eastAsiaTheme="minorEastAsia"/>
          <w:sz w:val="24"/>
        </w:rPr>
      </w:pPr>
      <w:r>
        <w:rPr>
          <w:rFonts w:eastAsiaTheme="minorEastAsia"/>
          <w:sz w:val="24"/>
        </w:rPr>
        <w:t>本届文化节以中国金鱼文化的传承发展为叙事主线，选取“地域特色”作为空间符号，结合公园古树、红墙、古建的独特底蕴，精心打造四大金鱼主题展区，汇聚虎头、鹅头红、蝶尾、兰寿、蛋凤等十大品系80余种、1800尾以上优质金鱼竞相水中绽放。京津冀金鱼展区以中山公园历史老照片为参照，恢复传统鱼盆摆放原貌，采用18个直径1.5米宫廷木海、14个直径0.8米老款式泥盆，汇聚北京、天津、河北等地40个品种、400余尾传统金鱼，主打俯视观赏视角，还原历史场景；福州金鱼展区聚焦闽江风情，展示10余种、160余尾当地特色金鱼，搭配茉莉花、油纸伞等地方特色元素，结合“白墙灰瓦”场景布置，呈现南国独特人文景观；江苏金鱼展区立足江南水乡风貌，展示10余种、300余尾当地特色金鱼，并融入承载公园历史记忆的经典哈哈镜互动展项，雅趣相融；愉园的宫廷金鱼展区以“京味金鱼文化”为核心，展示40余种北京、河北、江苏等地经典金鱼，搭配造型独特的园林盆景与古典容器，营造“鱼戏盆景间”的雅致意境。</w:t>
      </w:r>
    </w:p>
    <w:p w14:paraId="49442A72">
      <w:pPr>
        <w:spacing w:line="360" w:lineRule="auto"/>
        <w:ind w:firstLine="480" w:firstLineChars="200"/>
        <w:rPr>
          <w:rFonts w:eastAsiaTheme="minorEastAsia"/>
          <w:sz w:val="24"/>
        </w:rPr>
      </w:pPr>
      <w:r>
        <w:rPr>
          <w:rFonts w:eastAsiaTheme="minorEastAsia"/>
          <w:sz w:val="24"/>
        </w:rPr>
        <w:t>除精品金鱼展示外，公园特色展览同步开启，形成“观鱼赏景、品文知韵”的全方位游览格局。西展厅北馆推出渔文化展览，以图文科普、实物标本陈列相结合的方式，系统梳理中国渔文化发展脉络，普及水域生态保护知识；南七间房展厅举办陈启基金鱼全系图谱摄影展览，通过影像资料与文献素材，展示金鱼文化研究与传承成果，让市民深度了解金鱼养殖技艺与文化历史；蕙芳园同步举办盆景奇石展览，以“园蕴四珍”为主题，荟萃盆景、奇石、金鱼、兰花四大雅物，尽显古典园林清雅隽永的东方意境。</w:t>
      </w:r>
    </w:p>
    <w:p w14:paraId="27A13968">
      <w:pPr>
        <w:spacing w:line="360" w:lineRule="auto"/>
        <w:ind w:firstLine="480" w:firstLineChars="200"/>
        <w:rPr>
          <w:rFonts w:eastAsiaTheme="minorEastAsia"/>
          <w:sz w:val="24"/>
        </w:rPr>
      </w:pPr>
      <w:r>
        <w:rPr>
          <w:rFonts w:eastAsiaTheme="minorEastAsia"/>
          <w:sz w:val="24"/>
        </w:rPr>
        <w:t>本届文化节打破传统展览模式，联合多地渔业技术主管部门、科研院所及行业协会等多方力量，创新推出系列特色活动，让观鱼之旅更具互动性与趣味性。文化节期间，宫廷金鱼展区增设“垂钓小金鱼”“摸鱼机”等亲子互动体验区，感受与金鱼互动的快乐，打造亲子休闲好去处，满足全年龄段游客需求；江苏金鱼展区融入经典哈哈镜互动展项，巧妙与观鱼场景融为一体，将雅致的传统观赏体验与怀旧趣味互动相结合，带给游客丰富多元的游园感受。</w:t>
      </w:r>
    </w:p>
    <w:p w14:paraId="30DA9B43">
      <w:pPr>
        <w:spacing w:line="360" w:lineRule="auto"/>
        <w:ind w:firstLine="480" w:firstLineChars="200"/>
        <w:rPr>
          <w:rFonts w:eastAsiaTheme="minorEastAsia"/>
          <w:sz w:val="24"/>
        </w:rPr>
      </w:pPr>
      <w:r>
        <w:rPr>
          <w:rFonts w:eastAsiaTheme="minorEastAsia"/>
          <w:sz w:val="24"/>
        </w:rPr>
        <w:t>商业业态与文化氛围深度融合，文化节期间银杏大道推出博物市集，集中展示各类爬宠、异宠活体及标本衍生制品，开展野生动物保护科普宣讲，传播生态保护理念；西广场同步开设文创市集，紧扣金鱼文化核心元素，推出系列特色文创产品，涵盖非遗手作、国潮文创、特色餐饮等多元品类，让游客把金鱼雅韵与文化记忆带回家。此外，现场还设有“百千工程”乡村特色手工制品，给游客带来多元享受。</w:t>
      </w:r>
    </w:p>
    <w:p w14:paraId="4D832850">
      <w:pPr>
        <w:spacing w:line="360" w:lineRule="auto"/>
        <w:ind w:firstLine="480" w:firstLineChars="200"/>
        <w:rPr>
          <w:rFonts w:eastAsiaTheme="minorEastAsia"/>
          <w:sz w:val="24"/>
        </w:rPr>
      </w:pPr>
      <w:r>
        <w:rPr>
          <w:rFonts w:eastAsiaTheme="minorEastAsia"/>
          <w:sz w:val="24"/>
        </w:rPr>
        <w:t>鱼跃清波，古韵流芳。中山公园这场融合渔文化文脉与园林雅境的文化盛宴，不仅定格了京城早秋最美景致，更让市民游客在移步换景间邂逅匠心、感受美好。从锦鳞翩跹到趣味互动，从文化展陈到特色市集，2026年中山公园“鱼跃中山”金鱼文化节，正以最美的姿态迎接八方来客，共赴这场不负秋光的雅韵之约。</w:t>
      </w:r>
    </w:p>
    <w:p w14:paraId="056027C9">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北京市水产技术推广站</w:t>
      </w:r>
    </w:p>
    <w:p w14:paraId="07B88FBC">
      <w:pPr>
        <w:spacing w:line="360" w:lineRule="auto"/>
        <w:jc w:val="center"/>
        <w:outlineLvl w:val="1"/>
        <w:rPr>
          <w:rFonts w:eastAsia="黑体"/>
          <w:b/>
          <w:bCs/>
          <w:sz w:val="32"/>
          <w:szCs w:val="32"/>
        </w:rPr>
      </w:pPr>
      <w:bookmarkStart w:id="12" w:name="_Toc239087993"/>
      <w:r>
        <w:rPr>
          <w:rFonts w:hint="eastAsia" w:eastAsia="黑体"/>
          <w:b/>
          <w:bCs/>
          <w:sz w:val="32"/>
          <w:szCs w:val="32"/>
        </w:rPr>
        <w:t>江苏太湖：构建非法捕捞生态环境损害赔偿追责跨省协作机制</w:t>
      </w:r>
      <w:bookmarkEnd w:id="12"/>
    </w:p>
    <w:p w14:paraId="4E6EC13D">
      <w:pPr>
        <w:spacing w:line="360" w:lineRule="auto"/>
        <w:ind w:firstLine="480" w:firstLineChars="200"/>
        <w:rPr>
          <w:rFonts w:eastAsiaTheme="minorEastAsia"/>
          <w:sz w:val="24"/>
        </w:rPr>
      </w:pPr>
      <w:r>
        <w:rPr>
          <w:rFonts w:hint="eastAsia" w:eastAsiaTheme="minorEastAsia"/>
          <w:sz w:val="24"/>
        </w:rPr>
        <w:t>在“全国生态日”来临及《中华人民共和国生态环境法典》施行之际，8月14日，江苏省太湖渔政监督支队（以下简称“支队”）联合浙江省湖州市公安局、人民检察院、中级人民法院，在南太湖生态共治中心共同签署了《太湖水域非法捕捞生态环境损害责任追究协作框架协议》，并同步开展生态修复增殖放流活动。</w:t>
      </w:r>
    </w:p>
    <w:p w14:paraId="50BE244B">
      <w:pPr>
        <w:spacing w:line="360" w:lineRule="auto"/>
        <w:ind w:firstLine="480" w:firstLineChars="200"/>
        <w:rPr>
          <w:rFonts w:eastAsiaTheme="minorEastAsia"/>
          <w:sz w:val="24"/>
        </w:rPr>
      </w:pPr>
      <w:r>
        <w:rPr>
          <w:rFonts w:eastAsiaTheme="minorEastAsia"/>
          <w:sz w:val="24"/>
        </w:rPr>
        <w:t>太湖横跨苏浙两省，非法捕捞违法犯罪长期呈现跨区域流窜作案、“捕运销”一体化等特征。自2025年1月起，许某等5人在太湖禁渔期间多次使用三重刺网、密眼流刺网等禁用渔具非法捕捞，鱼贩朱某长期收购渔获物，形成“捕运销”非法利益链，一年多来累计捕捞各类水产品5000余斤，非法获利1.8万余元。2026年1月，支队联合湖州公安将该团伙查获。</w:t>
      </w:r>
    </w:p>
    <w:p w14:paraId="623C3A40">
      <w:pPr>
        <w:spacing w:line="360" w:lineRule="auto"/>
        <w:ind w:firstLine="480" w:firstLineChars="200"/>
        <w:rPr>
          <w:rFonts w:eastAsiaTheme="minorEastAsia"/>
          <w:sz w:val="24"/>
        </w:rPr>
      </w:pPr>
      <w:r>
        <w:rPr>
          <w:rFonts w:eastAsiaTheme="minorEastAsia"/>
          <w:sz w:val="24"/>
        </w:rPr>
        <w:t>实践中，单纯依靠刑事惩戒，难以弥补非法捕捞造成的水生生物资源损害与水域生态环境创伤。为实现行政执法、刑事司法、生态损害赔偿、公益诉讼全链条无缝衔接，支队主动向前一步，积极对接湖州市县两级公检法机关，多次就跨域非法捕捞案件信息共享、线索移送、生态赔偿与公益诉讼等进行会商研讨。2026年6月，在检察机关支持下，支队执法人员与许某等人就非法捕捞行为造成的生态损害赔偿开展磋商，并当场达成磋商协议，当事人自愿缴纳生态赔偿金5.4万余元，认购鱼苗13.7万尾进行增殖放流，用于补偿渔业资源损失，用实际行动为生态破坏行为“买单”。</w:t>
      </w:r>
    </w:p>
    <w:p w14:paraId="703C9593">
      <w:pPr>
        <w:spacing w:line="360" w:lineRule="auto"/>
        <w:ind w:firstLine="480" w:firstLineChars="200"/>
        <w:rPr>
          <w:rFonts w:eastAsiaTheme="minorEastAsia"/>
          <w:sz w:val="24"/>
        </w:rPr>
      </w:pPr>
      <w:r>
        <w:rPr>
          <w:rFonts w:eastAsiaTheme="minorEastAsia"/>
          <w:sz w:val="24"/>
        </w:rPr>
        <w:t>本次框架协议签署，标志着太湖水域渔业违法案件办理首次构建起苏浙两省跨域协作机制，打通了跨域办案、行刑衔接、生态索赔和后续修复等环节之间的壁垒，建立了“行政执法+刑事司法+生态赔偿”的闭环管理体系，实现太湖跨域生态环境损害赔偿责任追究机制创新突破，为协同保护太湖渔业资源和水域生态环境夯实制度根基。</w:t>
      </w:r>
    </w:p>
    <w:p w14:paraId="7EAC288E">
      <w:pPr>
        <w:spacing w:line="360" w:lineRule="auto"/>
        <w:ind w:firstLine="480" w:firstLineChars="200"/>
        <w:rPr>
          <w:rFonts w:eastAsiaTheme="minorEastAsia"/>
          <w:sz w:val="24"/>
        </w:rPr>
      </w:pPr>
      <w:r>
        <w:rPr>
          <w:rFonts w:eastAsiaTheme="minorEastAsia"/>
          <w:sz w:val="24"/>
        </w:rPr>
        <w:t>下一步，支队将持续巩固深化团结管湖机制，强化源头管控和全链条打击，凝聚全域打击非法捕捞工作合力，不断完善非法捕捞生态环境损害赔偿追责协作机制，进一步提升太湖水域生态保护协同性、系统性、整体性。</w:t>
      </w:r>
    </w:p>
    <w:p w14:paraId="3C626497">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江苏省太湖渔政监督支队</w:t>
      </w:r>
    </w:p>
    <w:p w14:paraId="71CC7865">
      <w:pPr>
        <w:spacing w:line="360" w:lineRule="auto"/>
        <w:ind w:firstLine="426"/>
        <w:jc w:val="right"/>
        <w:rPr>
          <w:rFonts w:hint="eastAsia" w:eastAsiaTheme="minorEastAsia"/>
          <w:szCs w:val="21"/>
        </w:rPr>
      </w:pPr>
    </w:p>
    <w:p w14:paraId="5EAC7D4C">
      <w:pPr>
        <w:spacing w:line="360" w:lineRule="auto"/>
        <w:jc w:val="center"/>
        <w:outlineLvl w:val="1"/>
        <w:rPr>
          <w:rFonts w:eastAsia="黑体"/>
          <w:b/>
          <w:bCs/>
          <w:sz w:val="32"/>
          <w:szCs w:val="32"/>
        </w:rPr>
      </w:pPr>
      <w:bookmarkStart w:id="13" w:name="_Toc239087994"/>
      <w:r>
        <w:rPr>
          <w:rFonts w:hint="eastAsia" w:eastAsia="黑体"/>
          <w:b/>
          <w:bCs/>
          <w:sz w:val="32"/>
          <w:szCs w:val="32"/>
        </w:rPr>
        <w:t>福建省海洋与渔业局“海纳百川”大讲堂开讲海洋生物多样性的养护和可持续利用</w:t>
      </w:r>
      <w:bookmarkEnd w:id="13"/>
    </w:p>
    <w:p w14:paraId="5A24106D">
      <w:pPr>
        <w:spacing w:line="360" w:lineRule="auto"/>
        <w:ind w:firstLine="480" w:firstLineChars="200"/>
        <w:rPr>
          <w:rFonts w:eastAsiaTheme="minorEastAsia"/>
          <w:sz w:val="24"/>
        </w:rPr>
      </w:pPr>
      <w:r>
        <w:rPr>
          <w:rFonts w:eastAsiaTheme="minorEastAsia"/>
          <w:sz w:val="24"/>
        </w:rPr>
        <w:t>为进一步贯彻落实自然资源部关于海洋生物多样性养护和可持续利用工作部署要求，切实提升海洋综合治理能力水平，近日，福建省海洋与渔业局举办第169期“海纳百川”大讲堂，邀请自然资源部第三海洋研究所副所长、二级研究员陈彬作《〈联合国海洋法公约〉下国家管辖范围以外区域海洋生物多样性的养护和可持续利用协定》（BBNJ协定）解读专题讲座。局党组书记、局长颜志煌出席活动。</w:t>
      </w:r>
    </w:p>
    <w:p w14:paraId="08370164">
      <w:pPr>
        <w:spacing w:line="360" w:lineRule="auto"/>
        <w:ind w:firstLine="480" w:firstLineChars="200"/>
        <w:rPr>
          <w:rFonts w:eastAsiaTheme="minorEastAsia"/>
          <w:sz w:val="24"/>
        </w:rPr>
      </w:pPr>
      <w:r>
        <w:rPr>
          <w:rFonts w:hint="eastAsia" w:eastAsiaTheme="minorEastAsia"/>
          <w:sz w:val="24"/>
        </w:rPr>
        <w:t>讲座中，</w:t>
      </w:r>
      <w:r>
        <w:rPr>
          <w:rFonts w:eastAsiaTheme="minorEastAsia"/>
          <w:sz w:val="24"/>
        </w:rPr>
        <w:t>陈彬（副所长）</w:t>
      </w:r>
      <w:r>
        <w:rPr>
          <w:rFonts w:hint="eastAsia" w:eastAsiaTheme="minorEastAsia"/>
          <w:sz w:val="24"/>
        </w:rPr>
        <w:t>紧扣BBNJ协定核心条款，围绕海洋遗传资源、划区管理工具、海洋环境影响评价、能力建设与技术转让等四大核心内容，结合全球海洋治理、我国海洋权益保护实践和福建海洋工作实际，深入浅出解读协定起源历史、核心要义、实施内容和深远影响。通过典型案例、数据分析、国内外实践对比等方式，深入讲解协定落地实施中的重点、难点问题。整场讲座内容详实、指导性强，为我省养护海洋生物多样性、助力全球海洋治理开阔工作思路、创新行动路径。</w:t>
      </w:r>
    </w:p>
    <w:p w14:paraId="40AAF5B4">
      <w:pPr>
        <w:spacing w:line="360" w:lineRule="auto"/>
        <w:ind w:firstLine="480" w:firstLineChars="200"/>
        <w:rPr>
          <w:rFonts w:eastAsiaTheme="minorEastAsia"/>
          <w:sz w:val="24"/>
        </w:rPr>
      </w:pPr>
      <w:r>
        <w:rPr>
          <w:rFonts w:hint="eastAsia" w:eastAsiaTheme="minorEastAsia"/>
          <w:sz w:val="24"/>
        </w:rPr>
        <w:t>今年BBNJ协定正式生效，为全球海洋治理带来新的机遇和新的挑战。立足新起点，福建将发挥海洋资源大省优势，聚焦海洋生物多样性养护和可持续利用，切实加强水生生物养护和海洋生态保护，持续书写人海和谐新答卷。与会人员纷纷表示，本次专题讲座极具系统性、启发性，让大家深刻认识到BBNJ协定贯彻落实，对我省海洋生态保护、渔业高质量发展、海洋国际合作和海洋综合执法等工作具有重要意义。将以此次学习为契机，主动对标海洋治理新标准、新要求，立足“十五五”开局起步，加快实施海洋强省建设中长期发展战略，开展新一轮海洋综合调查，持续加强海洋生态保护，推进海洋碳汇试点先行，深化海洋开放合作，广泛宣传推介海洋实践新成果，全力推进高水平“海上福建”建设，为我国参与全球海洋治理作出新的更大贡献。</w:t>
      </w:r>
    </w:p>
    <w:p w14:paraId="79A0C145">
      <w:pPr>
        <w:spacing w:line="360" w:lineRule="auto"/>
        <w:ind w:firstLine="480" w:firstLineChars="200"/>
        <w:rPr>
          <w:rFonts w:eastAsiaTheme="minorEastAsia"/>
          <w:sz w:val="24"/>
        </w:rPr>
      </w:pPr>
      <w:r>
        <w:rPr>
          <w:rFonts w:hint="eastAsia" w:eastAsiaTheme="minorEastAsia"/>
          <w:sz w:val="24"/>
        </w:rPr>
        <w:t>局党组成员、副局长刘庆丰主持，局领导陈晓光、翁新平、冯超，省执法总队领导刘春荣、朱真，局二级巡视员、总工程师，局机关全体干部、局属各单位领导班子成员参加。</w:t>
      </w:r>
    </w:p>
    <w:p w14:paraId="3F4AAF91">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福建省海洋与渔业局</w:t>
      </w:r>
    </w:p>
    <w:p w14:paraId="7D26C1DE">
      <w:pPr>
        <w:spacing w:line="360" w:lineRule="auto"/>
        <w:ind w:firstLine="426"/>
        <w:jc w:val="right"/>
        <w:rPr>
          <w:rFonts w:eastAsiaTheme="minorEastAsia"/>
          <w:szCs w:val="21"/>
        </w:rPr>
      </w:pPr>
    </w:p>
    <w:p w14:paraId="64767903">
      <w:pPr>
        <w:spacing w:line="360" w:lineRule="auto"/>
        <w:jc w:val="center"/>
        <w:outlineLvl w:val="1"/>
        <w:rPr>
          <w:rFonts w:eastAsia="黑体"/>
          <w:b/>
          <w:bCs/>
          <w:sz w:val="32"/>
          <w:szCs w:val="32"/>
        </w:rPr>
      </w:pPr>
      <w:bookmarkStart w:id="14" w:name="_Toc239087995"/>
      <w:r>
        <w:rPr>
          <w:rFonts w:hint="eastAsia" w:eastAsia="黑体"/>
          <w:b/>
          <w:bCs/>
          <w:sz w:val="32"/>
          <w:szCs w:val="32"/>
        </w:rPr>
        <w:t>福建鲜活贻贝首次直销台湾</w:t>
      </w:r>
      <w:bookmarkEnd w:id="14"/>
    </w:p>
    <w:p w14:paraId="25C1E861">
      <w:pPr>
        <w:spacing w:line="360" w:lineRule="auto"/>
        <w:ind w:firstLine="420" w:firstLineChars="200"/>
        <w:rPr>
          <w:rFonts w:eastAsiaTheme="minorEastAsia"/>
        </w:rPr>
      </w:pPr>
      <w:r>
        <w:rPr>
          <w:rFonts w:hint="eastAsia" w:eastAsiaTheme="minorEastAsia"/>
        </w:rPr>
        <w:t>18日上午，3000公斤鲜活贻贝在连江县筱埕镇定海海产品交易市场完成封装、装车，启运发往台湾。这是福州鲜活贻贝首次直接销往台湾，成为闽台渔业深度融合的又一生动例证。</w:t>
      </w:r>
    </w:p>
    <w:p w14:paraId="1AFCA263">
      <w:pPr>
        <w:spacing w:line="360" w:lineRule="auto"/>
        <w:ind w:firstLine="480" w:firstLineChars="200"/>
        <w:rPr>
          <w:rFonts w:eastAsiaTheme="minorEastAsia"/>
          <w:sz w:val="24"/>
        </w:rPr>
      </w:pPr>
      <w:r>
        <w:rPr>
          <w:rFonts w:hint="eastAsia" w:eastAsiaTheme="minorEastAsia"/>
          <w:sz w:val="24"/>
        </w:rPr>
        <w:t>当天，定海村一派繁忙，养殖户乘船前往距岸边约5公里的四姆屿岛近海海域，将一串串吊养生长的贻贝有序采收、打捞上岸。采收后的贻贝第一时间被送至码头，经过分拣、清洗、过秤、装筐等一系列工序，由专用叉车装上冷链运输车，运往马尾装船，随后将经海运销往台湾市场。</w:t>
      </w:r>
    </w:p>
    <w:p w14:paraId="68EE7EF0">
      <w:pPr>
        <w:spacing w:line="360" w:lineRule="auto"/>
        <w:ind w:firstLine="480" w:firstLineChars="200"/>
        <w:rPr>
          <w:rFonts w:eastAsiaTheme="minorEastAsia"/>
          <w:sz w:val="24"/>
        </w:rPr>
      </w:pPr>
      <w:r>
        <w:rPr>
          <w:rFonts w:hint="eastAsia" w:eastAsiaTheme="minorEastAsia"/>
          <w:sz w:val="24"/>
        </w:rPr>
        <w:t>“目前我们已接到来自台湾的贻贝订单超过50万公斤，接下来将陆续发货，让台湾同胞尝到最鲜甜的连江味道。”当天销往台湾的贻贝均来自连江县荣腾水产贸易有限公司，该企业负责人孙仁雄介绍，眼下正值连江贻贝采收旺季，丰产势头喜人，基地日均贻贝采收量可达1.5万公斤，预计这笔订单将在国庆之前全部交付。</w:t>
      </w:r>
    </w:p>
    <w:p w14:paraId="35963A1D">
      <w:pPr>
        <w:spacing w:line="360" w:lineRule="auto"/>
        <w:ind w:firstLine="482" w:firstLineChars="200"/>
        <w:rPr>
          <w:rFonts w:eastAsiaTheme="minorEastAsia"/>
          <w:sz w:val="24"/>
        </w:rPr>
      </w:pPr>
      <w:r>
        <w:rPr>
          <w:rFonts w:eastAsiaTheme="minorEastAsia"/>
          <w:b/>
          <w:bCs/>
          <w:sz w:val="24"/>
        </w:rPr>
        <w:t>贻贝：</w:t>
      </w:r>
      <w:r>
        <w:rPr>
          <w:rFonts w:eastAsiaTheme="minorEastAsia"/>
          <w:sz w:val="24"/>
        </w:rPr>
        <w:t>俗称淡菜，素有“海中鸡蛋”的美誉。此次出口的贻贝均养殖在定海湾海域，这里地处闽江与敖江入海口交汇处，咸淡水交融，浮游生物丰富，养殖出的贻贝个头饱满、口感鲜美、口碑出众。</w:t>
      </w:r>
    </w:p>
    <w:p w14:paraId="16106395">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福建日报</w:t>
      </w:r>
    </w:p>
    <w:p w14:paraId="2611C86D">
      <w:pPr>
        <w:spacing w:line="360" w:lineRule="auto"/>
        <w:ind w:firstLine="426"/>
        <w:jc w:val="right"/>
        <w:rPr>
          <w:rFonts w:eastAsiaTheme="minorEastAsia"/>
          <w:szCs w:val="21"/>
        </w:rPr>
      </w:pPr>
    </w:p>
    <w:p w14:paraId="28549026">
      <w:pPr>
        <w:spacing w:line="360" w:lineRule="auto"/>
        <w:jc w:val="center"/>
        <w:outlineLvl w:val="1"/>
        <w:rPr>
          <w:rFonts w:eastAsia="黑体"/>
          <w:b/>
          <w:bCs/>
          <w:sz w:val="32"/>
          <w:szCs w:val="32"/>
        </w:rPr>
      </w:pPr>
      <w:bookmarkStart w:id="15" w:name="_Toc239087996"/>
      <w:r>
        <w:rPr>
          <w:rFonts w:hint="eastAsia" w:eastAsia="黑体"/>
          <w:b/>
          <w:bCs/>
          <w:sz w:val="32"/>
          <w:szCs w:val="32"/>
        </w:rPr>
        <w:t>福建尖刀蛏人工繁育获重大突破，约300万粒苗种为资源恢复注入动能</w:t>
      </w:r>
      <w:bookmarkEnd w:id="15"/>
    </w:p>
    <w:p w14:paraId="34A007A4">
      <w:pPr>
        <w:spacing w:line="360" w:lineRule="auto"/>
        <w:ind w:firstLine="480" w:firstLineChars="200"/>
        <w:rPr>
          <w:rFonts w:eastAsiaTheme="minorEastAsia"/>
          <w:sz w:val="24"/>
        </w:rPr>
      </w:pPr>
      <w:r>
        <w:rPr>
          <w:rFonts w:hint="eastAsia" w:eastAsiaTheme="minorEastAsia"/>
          <w:sz w:val="24"/>
        </w:rPr>
        <w:t>长期依赖天然采捕的尖刀蛏（俗称“剑蛏”），首次实现人工规模化繁育。近日，记者从福建省水产研究所获悉，该所联合霞浦县海洋渔业发展中心及相关企业共同攻关，在尖刀蛏人工繁育技术领域取得里程碑式突破。科研团队成功攻克了亲本种质资源匮乏、人工催产与苗种规模化培育等一系列技术瓶颈，目前已在室内可控环境下成功培育出尖刀蛏苗种约300万粒。</w:t>
      </w:r>
    </w:p>
    <w:p w14:paraId="665620B5">
      <w:pPr>
        <w:spacing w:line="360" w:lineRule="auto"/>
        <w:ind w:firstLine="480" w:firstLineChars="200"/>
        <w:rPr>
          <w:rFonts w:eastAsiaTheme="minorEastAsia"/>
          <w:sz w:val="24"/>
        </w:rPr>
      </w:pPr>
      <w:r>
        <w:rPr>
          <w:rFonts w:hint="eastAsia" w:eastAsiaTheme="minorEastAsia"/>
          <w:sz w:val="24"/>
        </w:rPr>
        <w:t>这一成果标志着这一珍稀野生滩涂贝类首次实现人工规模化繁育，摆脱了苗种完全依赖野生资源的被动局面。未来，尖刀蛏有望继缢蛏、鲍鱼之后，成为福建沿海又一高值化养殖品种。</w:t>
      </w:r>
    </w:p>
    <w:p w14:paraId="6C3F7986">
      <w:pPr>
        <w:spacing w:line="360" w:lineRule="auto"/>
        <w:ind w:firstLine="480" w:firstLineChars="200"/>
        <w:rPr>
          <w:rFonts w:eastAsiaTheme="minorEastAsia"/>
          <w:sz w:val="24"/>
        </w:rPr>
      </w:pPr>
      <w:r>
        <w:rPr>
          <w:rFonts w:hint="eastAsia" w:eastAsiaTheme="minorEastAsia"/>
          <w:sz w:val="24"/>
        </w:rPr>
        <w:t>尖刀蛏因其贝壳修长锐利、形如尖刀而得名，肉质脆嫩鲜美、营养丰富，含肉率高达60%以上。霞浦福宁湾自古就是尖刀蛏的原种产地，是福建省唯一能形成采捕业的海区。20世纪90年代以来，多种因素导致野生尖刀蛏资源量急剧衰退。2002年，宁德设立“福宁湾尖刀蛏繁育保护区”，将其纳入海洋特别保护区体系进行抢救性保护。资源恢复速度远不能满足市场需求，加上人工繁育技术长期空白，产业发展的“种业芯片”始终受制。</w:t>
      </w:r>
    </w:p>
    <w:p w14:paraId="6228C17A">
      <w:pPr>
        <w:spacing w:line="360" w:lineRule="auto"/>
        <w:ind w:firstLine="480" w:firstLineChars="200"/>
        <w:rPr>
          <w:rFonts w:eastAsiaTheme="minorEastAsia"/>
          <w:sz w:val="24"/>
        </w:rPr>
      </w:pPr>
      <w:r>
        <w:rPr>
          <w:rFonts w:hint="eastAsia" w:eastAsiaTheme="minorEastAsia"/>
          <w:sz w:val="24"/>
        </w:rPr>
        <w:t>据了解，尖刀蛏人工繁育突破的核心难点在于亲贝资源量稀少，人工催产技术缺乏成熟方案，苗种规模化培育工艺复杂，对附着基、环境因子等条件要求极为苛刻。联合攻关团队采用“科研院所+地方推广站+龙头企业”模式协同创新，立足“种质资源保护与恢复”和“苗种规模化繁育”两大战略方向，逐一攻克了关键环节。约300万粒人工苗种的成功培育，其意义超越单纯的经济产出。人工育苗技术的成熟，将为尖刀蛏自然资源的科学修复提供技术前提。</w:t>
      </w:r>
    </w:p>
    <w:p w14:paraId="4F2ADABE">
      <w:pPr>
        <w:spacing w:line="360" w:lineRule="auto"/>
        <w:ind w:firstLine="480" w:firstLineChars="200"/>
        <w:rPr>
          <w:rFonts w:eastAsiaTheme="minorEastAsia"/>
          <w:sz w:val="24"/>
        </w:rPr>
      </w:pPr>
      <w:r>
        <w:rPr>
          <w:rFonts w:hint="eastAsia" w:eastAsiaTheme="minorEastAsia"/>
          <w:sz w:val="24"/>
        </w:rPr>
        <w:t>福建省水产研究所国家贝类体系厦门综合试验站站长葛辉表示，下一步，团队将持续优化育苗工艺，重点攻关大规格苗种中间培育技术和规模化扩繁体系建设，争取尽早实现尖刀蛏苗种的产业化供应。</w:t>
      </w:r>
    </w:p>
    <w:p w14:paraId="363B7BA5">
      <w:pPr>
        <w:spacing w:line="360" w:lineRule="auto"/>
        <w:ind w:firstLine="426"/>
        <w:jc w:val="right"/>
        <w:rPr>
          <w:rFonts w:eastAsiaTheme="minorEastAsia"/>
          <w:szCs w:val="21"/>
        </w:rPr>
      </w:pPr>
      <w:r>
        <w:rPr>
          <w:rStyle w:val="96"/>
          <w:rFonts w:eastAsiaTheme="minorEastAsia"/>
          <w:szCs w:val="21"/>
        </w:rPr>
        <w:t>转摘自</w:t>
      </w:r>
      <w:r>
        <w:rPr>
          <w:rFonts w:eastAsiaTheme="minorEastAsia"/>
          <w:szCs w:val="21"/>
        </w:rPr>
        <w:t>福建日报</w:t>
      </w:r>
    </w:p>
    <w:p w14:paraId="5CA15C01">
      <w:pPr>
        <w:spacing w:line="276" w:lineRule="auto"/>
        <w:jc w:val="left"/>
        <w:outlineLvl w:val="0"/>
        <w:rPr>
          <w:rFonts w:eastAsia="黑体"/>
          <w:b/>
          <w:bCs/>
          <w:sz w:val="32"/>
          <w:szCs w:val="32"/>
          <w:bdr w:val="single" w:color="auto" w:sz="4" w:space="0"/>
        </w:rPr>
      </w:pPr>
      <w:bookmarkStart w:id="16" w:name="_Toc239087997"/>
      <w:bookmarkStart w:id="17" w:name="_Toc206748070"/>
      <w:bookmarkStart w:id="18" w:name="_Toc208688089"/>
      <w:bookmarkStart w:id="19" w:name="_Toc225807399"/>
      <w:bookmarkStart w:id="20" w:name="_Toc221758906"/>
      <w:r>
        <w:rPr>
          <w:rFonts w:eastAsia="黑体"/>
          <w:b/>
          <w:bCs/>
          <w:sz w:val="32"/>
          <w:szCs w:val="32"/>
          <w:bdr w:val="single" w:color="auto" w:sz="4" w:space="0"/>
        </w:rPr>
        <w:t>研究进展</w:t>
      </w:r>
      <w:bookmarkEnd w:id="16"/>
      <w:bookmarkEnd w:id="17"/>
      <w:bookmarkEnd w:id="18"/>
      <w:bookmarkEnd w:id="19"/>
      <w:bookmarkEnd w:id="20"/>
    </w:p>
    <w:p w14:paraId="35537E1C">
      <w:pPr>
        <w:spacing w:line="360" w:lineRule="auto"/>
        <w:jc w:val="center"/>
        <w:outlineLvl w:val="1"/>
        <w:rPr>
          <w:rFonts w:eastAsia="黑体"/>
          <w:b/>
          <w:bCs/>
          <w:sz w:val="32"/>
          <w:szCs w:val="32"/>
        </w:rPr>
      </w:pPr>
      <w:bookmarkStart w:id="21" w:name="_Toc239087998"/>
      <w:bookmarkStart w:id="22" w:name="_Toc225807401"/>
      <w:r>
        <w:rPr>
          <w:rFonts w:hint="eastAsia" w:ascii="黑体" w:hAnsi="黑体" w:eastAsia="黑体" w:cs="黑体"/>
          <w:b/>
          <w:bCs/>
          <w:sz w:val="32"/>
          <w:szCs w:val="32"/>
        </w:rPr>
        <w:t>高脂饲料添加柚皮苷对大口黑鲈肝脏脂质代谢和内质网应激的影响</w:t>
      </w:r>
      <w:bookmarkEnd w:id="21"/>
    </w:p>
    <w:p w14:paraId="5F19D9A7">
      <w:pPr>
        <w:jc w:val="center"/>
        <w:rPr>
          <w:rFonts w:cs="宋体"/>
          <w:szCs w:val="21"/>
        </w:rPr>
      </w:pPr>
      <w:r>
        <w:rPr>
          <w:rFonts w:hint="eastAsia" w:cs="宋体"/>
          <w:szCs w:val="21"/>
        </w:rPr>
        <w:t>郝志伟，  胡海龙，  郑     华，  张    旭，  谭肖英*</w:t>
      </w:r>
    </w:p>
    <w:p w14:paraId="7DBFC191">
      <w:pPr>
        <w:jc w:val="center"/>
        <w:rPr>
          <w:rFonts w:cs="宋体"/>
          <w:szCs w:val="21"/>
        </w:rPr>
      </w:pPr>
      <w:r>
        <w:rPr>
          <w:rFonts w:hint="eastAsia" w:cs="宋体"/>
          <w:szCs w:val="21"/>
        </w:rPr>
        <w:t>(华中农业大学水产学院，湖北 武汉  430070)</w:t>
      </w:r>
    </w:p>
    <w:p w14:paraId="4071D914">
      <w:pPr>
        <w:pStyle w:val="8"/>
        <w:spacing w:before="63" w:line="280" w:lineRule="auto"/>
        <w:ind w:right="314"/>
        <w:jc w:val="both"/>
        <w:rPr>
          <w:rFonts w:eastAsia="宋体"/>
          <w:kern w:val="2"/>
          <w:sz w:val="21"/>
          <w:szCs w:val="24"/>
          <w:lang w:eastAsia="zh-CN" w:bidi="ar-SA"/>
        </w:rPr>
      </w:pPr>
      <w:r>
        <w:rPr>
          <w:rFonts w:eastAsia="宋体"/>
          <w:b/>
          <w:bCs/>
          <w:kern w:val="2"/>
          <w:sz w:val="21"/>
          <w:szCs w:val="24"/>
          <w:lang w:eastAsia="zh-CN" w:bidi="ar-SA"/>
        </w:rPr>
        <w:t>摘要：</w:t>
      </w:r>
      <w:r>
        <w:rPr>
          <w:rFonts w:eastAsia="宋体"/>
          <w:kern w:val="2"/>
          <w:sz w:val="21"/>
          <w:szCs w:val="24"/>
          <w:lang w:eastAsia="zh-CN" w:bidi="ar-SA"/>
        </w:rPr>
        <w:t>【</w:t>
      </w:r>
      <w:r>
        <w:rPr>
          <w:rFonts w:eastAsia="宋体"/>
          <w:b/>
          <w:bCs/>
          <w:kern w:val="2"/>
          <w:sz w:val="21"/>
          <w:szCs w:val="24"/>
          <w:lang w:eastAsia="zh-CN" w:bidi="ar-SA"/>
        </w:rPr>
        <w:t>目的</w:t>
      </w:r>
      <w:r>
        <w:rPr>
          <w:rFonts w:eastAsia="宋体"/>
          <w:kern w:val="2"/>
          <w:sz w:val="21"/>
          <w:szCs w:val="24"/>
          <w:lang w:eastAsia="zh-CN" w:bidi="ar-SA"/>
        </w:rPr>
        <w:t xml:space="preserve">】探究高脂和柚皮苷 </w:t>
      </w:r>
      <w:r>
        <w:rPr>
          <w:rFonts w:hint="eastAsia" w:eastAsia="宋体"/>
          <w:kern w:val="2"/>
          <w:sz w:val="21"/>
          <w:szCs w:val="24"/>
          <w:lang w:eastAsia="zh-CN" w:bidi="ar-SA"/>
        </w:rPr>
        <w:t>（</w:t>
      </w:r>
      <w:r>
        <w:rPr>
          <w:rFonts w:eastAsia="宋体"/>
          <w:kern w:val="2"/>
          <w:sz w:val="21"/>
          <w:szCs w:val="24"/>
          <w:lang w:eastAsia="zh-CN" w:bidi="ar-SA"/>
        </w:rPr>
        <w:t>Nar</w:t>
      </w:r>
      <w:r>
        <w:rPr>
          <w:rFonts w:hint="eastAsia" w:eastAsia="宋体"/>
          <w:kern w:val="2"/>
          <w:sz w:val="21"/>
          <w:szCs w:val="24"/>
          <w:lang w:eastAsia="zh-CN" w:bidi="ar-SA"/>
        </w:rPr>
        <w:t>）</w:t>
      </w:r>
      <w:r>
        <w:rPr>
          <w:rFonts w:eastAsia="宋体"/>
          <w:kern w:val="2"/>
          <w:sz w:val="21"/>
          <w:szCs w:val="24"/>
          <w:lang w:eastAsia="zh-CN" w:bidi="ar-SA"/>
        </w:rPr>
        <w:t xml:space="preserve"> 对大口黑鲈脂质代谢和内质网应激的影响， 为植物提取物在水产饲料中的应用提供科学依据。【</w:t>
      </w:r>
      <w:r>
        <w:rPr>
          <w:rFonts w:eastAsia="宋体"/>
          <w:b/>
          <w:bCs/>
          <w:kern w:val="2"/>
          <w:sz w:val="21"/>
          <w:szCs w:val="24"/>
          <w:lang w:eastAsia="zh-CN" w:bidi="ar-SA"/>
        </w:rPr>
        <w:t>方法</w:t>
      </w:r>
      <w:r>
        <w:rPr>
          <w:rFonts w:eastAsia="宋体"/>
          <w:kern w:val="2"/>
          <w:sz w:val="21"/>
          <w:szCs w:val="24"/>
          <w:lang w:eastAsia="zh-CN" w:bidi="ar-SA"/>
        </w:rPr>
        <w:t xml:space="preserve">】以大口黑鲈幼鱼为研究对象，设置对照组 </w:t>
      </w:r>
      <w:r>
        <w:rPr>
          <w:rFonts w:hint="eastAsia" w:eastAsia="宋体"/>
          <w:kern w:val="2"/>
          <w:sz w:val="21"/>
          <w:szCs w:val="24"/>
          <w:lang w:eastAsia="zh-CN" w:bidi="ar-SA"/>
        </w:rPr>
        <w:t>（</w:t>
      </w:r>
      <w:r>
        <w:rPr>
          <w:rFonts w:eastAsia="宋体"/>
          <w:kern w:val="2"/>
          <w:sz w:val="21"/>
          <w:szCs w:val="24"/>
          <w:lang w:eastAsia="zh-CN" w:bidi="ar-SA"/>
        </w:rPr>
        <w:t>10.5% 粗脂肪</w:t>
      </w:r>
      <w:r>
        <w:rPr>
          <w:rFonts w:hint="eastAsia" w:eastAsia="宋体"/>
          <w:kern w:val="2"/>
          <w:sz w:val="21"/>
          <w:szCs w:val="24"/>
          <w:lang w:eastAsia="zh-CN" w:bidi="ar-SA"/>
        </w:rPr>
        <w:t>）</w:t>
      </w:r>
      <w:r>
        <w:rPr>
          <w:rFonts w:eastAsia="宋体"/>
          <w:kern w:val="2"/>
          <w:sz w:val="21"/>
          <w:szCs w:val="24"/>
          <w:lang w:eastAsia="zh-CN" w:bidi="ar-SA"/>
        </w:rPr>
        <w:t>、高脂组</w:t>
      </w:r>
      <w:r>
        <w:rPr>
          <w:rFonts w:hint="eastAsia" w:eastAsia="宋体"/>
          <w:kern w:val="2"/>
          <w:sz w:val="21"/>
          <w:szCs w:val="24"/>
          <w:lang w:eastAsia="zh-CN" w:bidi="ar-SA"/>
        </w:rPr>
        <w:t>（</w:t>
      </w:r>
      <w:r>
        <w:rPr>
          <w:rFonts w:eastAsia="宋体"/>
          <w:kern w:val="2"/>
          <w:sz w:val="21"/>
          <w:szCs w:val="24"/>
          <w:lang w:eastAsia="zh-CN" w:bidi="ar-SA"/>
        </w:rPr>
        <w:t>18.5% 粗脂肪</w:t>
      </w:r>
      <w:r>
        <w:rPr>
          <w:rFonts w:hint="eastAsia" w:eastAsia="宋体"/>
          <w:kern w:val="2"/>
          <w:sz w:val="21"/>
          <w:szCs w:val="24"/>
          <w:lang w:eastAsia="zh-CN" w:bidi="ar-SA"/>
        </w:rPr>
        <w:t>）</w:t>
      </w:r>
      <w:r>
        <w:rPr>
          <w:rFonts w:eastAsia="宋体"/>
          <w:kern w:val="2"/>
          <w:sz w:val="21"/>
          <w:szCs w:val="24"/>
          <w:lang w:eastAsia="zh-CN" w:bidi="ar-SA"/>
        </w:rPr>
        <w:t>、对照组+0.</w:t>
      </w:r>
      <w:r>
        <w:rPr>
          <w:rFonts w:hint="eastAsia" w:eastAsia="宋体"/>
          <w:kern w:val="2"/>
          <w:sz w:val="21"/>
          <w:szCs w:val="24"/>
          <w:lang w:eastAsia="zh-CN" w:bidi="ar-SA"/>
        </w:rPr>
        <w:t xml:space="preserve">125% </w:t>
      </w:r>
      <w:r>
        <w:rPr>
          <w:rFonts w:eastAsia="宋体"/>
          <w:kern w:val="2"/>
          <w:sz w:val="21"/>
          <w:szCs w:val="24"/>
          <w:lang w:eastAsia="zh-CN" w:bidi="ar-SA"/>
        </w:rPr>
        <w:t>Nar、高脂组+0.</w:t>
      </w:r>
      <w:r>
        <w:rPr>
          <w:rFonts w:hint="eastAsia" w:eastAsia="宋体"/>
          <w:kern w:val="2"/>
          <w:sz w:val="21"/>
          <w:szCs w:val="24"/>
          <w:lang w:eastAsia="zh-CN" w:bidi="ar-SA"/>
        </w:rPr>
        <w:t xml:space="preserve">125% </w:t>
      </w:r>
      <w:r>
        <w:rPr>
          <w:rFonts w:eastAsia="宋体"/>
          <w:kern w:val="2"/>
          <w:sz w:val="21"/>
          <w:szCs w:val="24"/>
          <w:lang w:eastAsia="zh-CN" w:bidi="ar-SA"/>
        </w:rPr>
        <w:t>Nar、对照组+0.25%</w:t>
      </w:r>
      <w:r>
        <w:rPr>
          <w:rFonts w:hint="eastAsia" w:eastAsia="宋体"/>
          <w:kern w:val="2"/>
          <w:sz w:val="21"/>
          <w:szCs w:val="24"/>
          <w:lang w:eastAsia="zh-CN" w:bidi="ar-SA"/>
        </w:rPr>
        <w:t xml:space="preserve"> Nar</w:t>
      </w:r>
      <w:r>
        <w:rPr>
          <w:rFonts w:eastAsia="宋体"/>
          <w:kern w:val="2"/>
          <w:sz w:val="21"/>
          <w:szCs w:val="24"/>
          <w:lang w:eastAsia="zh-CN" w:bidi="ar-SA"/>
        </w:rPr>
        <w:t xml:space="preserve"> 和高脂组+0.25%</w:t>
      </w:r>
      <w:r>
        <w:rPr>
          <w:rFonts w:hint="eastAsia" w:eastAsia="宋体"/>
          <w:kern w:val="2"/>
          <w:sz w:val="21"/>
          <w:szCs w:val="24"/>
          <w:lang w:eastAsia="zh-CN" w:bidi="ar-SA"/>
        </w:rPr>
        <w:t xml:space="preserve"> Nar</w:t>
      </w:r>
      <w:r>
        <w:rPr>
          <w:rFonts w:eastAsia="宋体"/>
          <w:kern w:val="2"/>
          <w:sz w:val="21"/>
          <w:szCs w:val="24"/>
          <w:lang w:eastAsia="zh-CN" w:bidi="ar-SA"/>
        </w:rPr>
        <w:t xml:space="preserve"> 6个饲料组，每组3个重复，实验持续 10 周。通过苏木精-伊红和油红O染色观察肝脏组织学和脂肪滴的变化；甘油三酯</w:t>
      </w:r>
      <w:r>
        <w:rPr>
          <w:rFonts w:hint="eastAsia" w:eastAsia="宋体"/>
          <w:kern w:val="2"/>
          <w:sz w:val="21"/>
          <w:szCs w:val="24"/>
          <w:lang w:eastAsia="zh-CN" w:bidi="ar-SA"/>
        </w:rPr>
        <w:t>（</w:t>
      </w:r>
      <w:r>
        <w:rPr>
          <w:rFonts w:eastAsia="宋体"/>
          <w:kern w:val="2"/>
          <w:sz w:val="21"/>
          <w:szCs w:val="24"/>
          <w:lang w:eastAsia="zh-CN" w:bidi="ar-SA"/>
        </w:rPr>
        <w:t>TG</w:t>
      </w:r>
      <w:r>
        <w:rPr>
          <w:rFonts w:hint="eastAsia" w:eastAsia="宋体"/>
          <w:kern w:val="2"/>
          <w:sz w:val="21"/>
          <w:szCs w:val="24"/>
          <w:lang w:eastAsia="zh-CN" w:bidi="ar-SA"/>
        </w:rPr>
        <w:t>）</w:t>
      </w:r>
      <w:r>
        <w:rPr>
          <w:rFonts w:eastAsia="宋体"/>
          <w:kern w:val="2"/>
          <w:sz w:val="21"/>
          <w:szCs w:val="24"/>
          <w:lang w:eastAsia="zh-CN" w:bidi="ar-SA"/>
        </w:rPr>
        <w:t>分析试剂盒检测肝脏中的TG含量；荧光定量 PCR 和蛋白质免疫印迹测定相关基因和蛋白表达水平。【</w:t>
      </w:r>
      <w:r>
        <w:rPr>
          <w:rFonts w:eastAsia="宋体"/>
          <w:b/>
          <w:bCs/>
          <w:kern w:val="2"/>
          <w:sz w:val="21"/>
          <w:szCs w:val="24"/>
          <w:lang w:eastAsia="zh-CN" w:bidi="ar-SA"/>
        </w:rPr>
        <w:t>结果</w:t>
      </w:r>
      <w:r>
        <w:rPr>
          <w:rFonts w:eastAsia="宋体"/>
          <w:kern w:val="2"/>
          <w:sz w:val="21"/>
          <w:szCs w:val="24"/>
          <w:lang w:eastAsia="zh-CN" w:bidi="ar-SA"/>
        </w:rPr>
        <w:t xml:space="preserve">】在高脂组中，肝脏组织受到损伤产生空泡化现象，通过油红O染色，结果显示，肝脏中有大量脂滴，肝脏TG含量和脂质合成酶相关基因 </w:t>
      </w:r>
      <w:r>
        <w:rPr>
          <w:rFonts w:hint="eastAsia" w:eastAsia="宋体"/>
          <w:kern w:val="2"/>
          <w:sz w:val="21"/>
          <w:szCs w:val="24"/>
          <w:lang w:eastAsia="zh-CN" w:bidi="ar-SA"/>
        </w:rPr>
        <w:t>（</w:t>
      </w:r>
      <w:r>
        <w:rPr>
          <w:rFonts w:eastAsia="宋体"/>
          <w:i/>
          <w:iCs/>
          <w:kern w:val="2"/>
          <w:sz w:val="21"/>
          <w:szCs w:val="24"/>
          <w:lang w:eastAsia="zh-CN" w:bidi="ar-SA"/>
        </w:rPr>
        <w:t>scd1</w:t>
      </w:r>
      <w:r>
        <w:rPr>
          <w:rFonts w:eastAsia="宋体"/>
          <w:kern w:val="2"/>
          <w:sz w:val="21"/>
          <w:szCs w:val="24"/>
          <w:lang w:eastAsia="zh-CN" w:bidi="ar-SA"/>
        </w:rPr>
        <w:t>、</w:t>
      </w:r>
      <w:r>
        <w:rPr>
          <w:rFonts w:eastAsia="宋体"/>
          <w:i/>
          <w:iCs/>
          <w:kern w:val="2"/>
          <w:sz w:val="21"/>
          <w:szCs w:val="24"/>
          <w:lang w:eastAsia="zh-CN" w:bidi="ar-SA"/>
        </w:rPr>
        <w:t>fas</w:t>
      </w:r>
      <w:r>
        <w:rPr>
          <w:rFonts w:eastAsia="宋体"/>
          <w:kern w:val="2"/>
          <w:sz w:val="21"/>
          <w:szCs w:val="24"/>
          <w:lang w:eastAsia="zh-CN" w:bidi="ar-SA"/>
        </w:rPr>
        <w:t>、</w:t>
      </w:r>
      <w:r>
        <w:rPr>
          <w:rFonts w:eastAsia="宋体"/>
          <w:i/>
          <w:iCs/>
          <w:kern w:val="2"/>
          <w:sz w:val="21"/>
          <w:szCs w:val="24"/>
          <w:lang w:eastAsia="zh-CN" w:bidi="ar-SA"/>
        </w:rPr>
        <w:t>acca</w:t>
      </w:r>
      <w:r>
        <w:rPr>
          <w:rFonts w:hint="eastAsia" w:eastAsia="宋体"/>
          <w:kern w:val="2"/>
          <w:sz w:val="21"/>
          <w:szCs w:val="24"/>
          <w:lang w:eastAsia="zh-CN" w:bidi="ar-SA"/>
        </w:rPr>
        <w:t>）</w:t>
      </w:r>
      <w:r>
        <w:rPr>
          <w:rFonts w:eastAsia="宋体"/>
          <w:kern w:val="2"/>
          <w:sz w:val="21"/>
          <w:szCs w:val="24"/>
          <w:lang w:eastAsia="zh-CN" w:bidi="ar-SA"/>
        </w:rPr>
        <w:t xml:space="preserve"> 和转录因子 SREBP1、PPARγ的mRNA表达水平升高。脂质分解酶相关基因 </w:t>
      </w:r>
      <w:r>
        <w:rPr>
          <w:rFonts w:hint="eastAsia" w:eastAsia="宋体"/>
          <w:kern w:val="2"/>
          <w:sz w:val="21"/>
          <w:szCs w:val="24"/>
          <w:lang w:eastAsia="zh-CN" w:bidi="ar-SA"/>
        </w:rPr>
        <w:t>（</w:t>
      </w:r>
      <w:r>
        <w:rPr>
          <w:rFonts w:eastAsia="宋体"/>
          <w:i/>
          <w:iCs/>
          <w:kern w:val="2"/>
          <w:sz w:val="21"/>
          <w:szCs w:val="24"/>
          <w:lang w:eastAsia="zh-CN" w:bidi="ar-SA"/>
        </w:rPr>
        <w:t>cpt1</w:t>
      </w:r>
      <w:r>
        <w:rPr>
          <w:rFonts w:eastAsia="宋体"/>
          <w:kern w:val="2"/>
          <w:sz w:val="21"/>
          <w:szCs w:val="24"/>
          <w:lang w:eastAsia="zh-CN" w:bidi="ar-SA"/>
        </w:rPr>
        <w:t>、</w:t>
      </w:r>
      <w:r>
        <w:rPr>
          <w:rFonts w:eastAsia="宋体"/>
          <w:i/>
          <w:iCs/>
          <w:kern w:val="2"/>
          <w:sz w:val="21"/>
          <w:szCs w:val="24"/>
          <w:lang w:eastAsia="zh-CN" w:bidi="ar-SA"/>
        </w:rPr>
        <w:t>cpt2</w:t>
      </w:r>
      <w:r>
        <w:rPr>
          <w:rFonts w:eastAsia="宋体"/>
          <w:kern w:val="2"/>
          <w:sz w:val="21"/>
          <w:szCs w:val="24"/>
          <w:lang w:eastAsia="zh-CN" w:bidi="ar-SA"/>
        </w:rPr>
        <w:t xml:space="preserve"> 、</w:t>
      </w:r>
      <w:r>
        <w:rPr>
          <w:rFonts w:eastAsia="宋体"/>
          <w:i/>
          <w:iCs/>
          <w:kern w:val="2"/>
          <w:sz w:val="21"/>
          <w:szCs w:val="24"/>
          <w:lang w:eastAsia="zh-CN" w:bidi="ar-SA"/>
        </w:rPr>
        <w:t>atgl</w:t>
      </w:r>
      <w:r>
        <w:rPr>
          <w:rFonts w:eastAsia="宋体"/>
          <w:kern w:val="2"/>
          <w:sz w:val="21"/>
          <w:szCs w:val="24"/>
          <w:lang w:eastAsia="zh-CN" w:bidi="ar-SA"/>
        </w:rPr>
        <w:t xml:space="preserve"> 和 </w:t>
      </w:r>
      <w:r>
        <w:rPr>
          <w:rFonts w:eastAsia="宋体"/>
          <w:i/>
          <w:iCs/>
          <w:kern w:val="2"/>
          <w:sz w:val="21"/>
          <w:szCs w:val="24"/>
          <w:lang w:eastAsia="zh-CN" w:bidi="ar-SA"/>
        </w:rPr>
        <w:t>hsl</w:t>
      </w:r>
      <w:r>
        <w:rPr>
          <w:rFonts w:hint="eastAsia" w:eastAsia="宋体"/>
          <w:kern w:val="2"/>
          <w:sz w:val="21"/>
          <w:szCs w:val="24"/>
          <w:lang w:eastAsia="zh-CN" w:bidi="ar-SA"/>
        </w:rPr>
        <w:t>）</w:t>
      </w:r>
      <w:r>
        <w:rPr>
          <w:rFonts w:eastAsia="宋体"/>
          <w:kern w:val="2"/>
          <w:sz w:val="21"/>
          <w:szCs w:val="24"/>
          <w:lang w:eastAsia="zh-CN" w:bidi="ar-SA"/>
        </w:rPr>
        <w:t xml:space="preserve"> 和转录因子 PPARα的mRNA表达水平降低。添加柚皮苷可降低肝脏中 TG 含量、脂质合成相关基因mRNA的表达水平，增加脂质分解相关基因mRNA的表达水平。与对照组相比，高脂组中肝脏透射电镜显示，内质网发生明显肿胀， 内质网应激激活的相关通路基因 </w:t>
      </w:r>
      <w:r>
        <w:rPr>
          <w:rFonts w:hint="eastAsia" w:eastAsia="宋体"/>
          <w:kern w:val="2"/>
          <w:sz w:val="21"/>
          <w:szCs w:val="24"/>
          <w:lang w:eastAsia="zh-CN" w:bidi="ar-SA"/>
        </w:rPr>
        <w:t>（</w:t>
      </w:r>
      <w:r>
        <w:rPr>
          <w:rFonts w:eastAsia="宋体"/>
          <w:i/>
          <w:iCs/>
          <w:kern w:val="2"/>
          <w:sz w:val="21"/>
          <w:szCs w:val="24"/>
          <w:lang w:eastAsia="zh-CN" w:bidi="ar-SA"/>
        </w:rPr>
        <w:t>ire1</w:t>
      </w:r>
      <w:r>
        <w:rPr>
          <w:rFonts w:eastAsia="宋体"/>
          <w:kern w:val="2"/>
          <w:sz w:val="21"/>
          <w:szCs w:val="24"/>
          <w:lang w:eastAsia="zh-CN" w:bidi="ar-SA"/>
        </w:rPr>
        <w:t>、</w:t>
      </w:r>
      <w:r>
        <w:rPr>
          <w:rFonts w:eastAsia="宋体"/>
          <w:i/>
          <w:iCs/>
          <w:kern w:val="2"/>
          <w:sz w:val="21"/>
          <w:szCs w:val="24"/>
          <w:lang w:eastAsia="zh-CN" w:bidi="ar-SA"/>
        </w:rPr>
        <w:t>xbp1</w:t>
      </w:r>
      <w:r>
        <w:rPr>
          <w:rFonts w:eastAsia="宋体"/>
          <w:kern w:val="2"/>
          <w:sz w:val="21"/>
          <w:szCs w:val="24"/>
          <w:lang w:eastAsia="zh-CN" w:bidi="ar-SA"/>
        </w:rPr>
        <w:t>、</w:t>
      </w:r>
      <w:r>
        <w:rPr>
          <w:rFonts w:eastAsia="宋体"/>
          <w:i/>
          <w:iCs/>
          <w:kern w:val="2"/>
          <w:sz w:val="21"/>
          <w:szCs w:val="24"/>
          <w:lang w:eastAsia="zh-CN" w:bidi="ar-SA"/>
        </w:rPr>
        <w:t>elf2α</w:t>
      </w:r>
      <w:r>
        <w:rPr>
          <w:rFonts w:eastAsia="宋体"/>
          <w:kern w:val="2"/>
          <w:sz w:val="21"/>
          <w:szCs w:val="24"/>
          <w:lang w:eastAsia="zh-CN" w:bidi="ar-SA"/>
        </w:rPr>
        <w:t>、</w:t>
      </w:r>
      <w:r>
        <w:rPr>
          <w:rFonts w:eastAsia="宋体"/>
          <w:i/>
          <w:iCs/>
          <w:kern w:val="2"/>
          <w:sz w:val="21"/>
          <w:szCs w:val="24"/>
          <w:lang w:eastAsia="zh-CN" w:bidi="ar-SA"/>
        </w:rPr>
        <w:t>atf4</w:t>
      </w:r>
      <w:r>
        <w:rPr>
          <w:rFonts w:eastAsia="宋体"/>
          <w:kern w:val="2"/>
          <w:sz w:val="21"/>
          <w:szCs w:val="24"/>
          <w:lang w:eastAsia="zh-CN" w:bidi="ar-SA"/>
        </w:rPr>
        <w:t>、</w:t>
      </w:r>
      <w:r>
        <w:rPr>
          <w:rFonts w:eastAsia="宋体"/>
          <w:i/>
          <w:iCs/>
          <w:kern w:val="2"/>
          <w:sz w:val="21"/>
          <w:szCs w:val="24"/>
          <w:lang w:eastAsia="zh-CN" w:bidi="ar-SA"/>
        </w:rPr>
        <w:t>atf6</w:t>
      </w:r>
      <w:r>
        <w:rPr>
          <w:rFonts w:eastAsia="宋体"/>
          <w:kern w:val="2"/>
          <w:sz w:val="21"/>
          <w:szCs w:val="24"/>
          <w:lang w:eastAsia="zh-CN" w:bidi="ar-SA"/>
        </w:rPr>
        <w:t>和grp78</w:t>
      </w:r>
      <w:r>
        <w:rPr>
          <w:rFonts w:hint="eastAsia" w:eastAsia="宋体"/>
          <w:kern w:val="2"/>
          <w:sz w:val="21"/>
          <w:szCs w:val="24"/>
          <w:lang w:eastAsia="zh-CN" w:bidi="ar-SA"/>
        </w:rPr>
        <w:t>） 的mRNA</w:t>
      </w:r>
      <w:r>
        <w:rPr>
          <w:rFonts w:eastAsia="宋体"/>
          <w:kern w:val="2"/>
          <w:sz w:val="21"/>
          <w:szCs w:val="24"/>
          <w:lang w:eastAsia="zh-CN" w:bidi="ar-SA"/>
        </w:rPr>
        <w:t xml:space="preserve"> 水平和内质网应激标志蛋白GRP78表达量升高。添加Nar可缓解肝脏内质网肿胀，同时内质网应激激活的相关通路基因的mRNA 水平和内质网应激标志蛋白GRP78表达量下降。【</w:t>
      </w:r>
      <w:r>
        <w:rPr>
          <w:rFonts w:eastAsia="宋体"/>
          <w:b/>
          <w:bCs/>
          <w:kern w:val="2"/>
          <w:sz w:val="21"/>
          <w:szCs w:val="24"/>
          <w:lang w:eastAsia="zh-CN" w:bidi="ar-SA"/>
        </w:rPr>
        <w:t>结论</w:t>
      </w:r>
      <w:r>
        <w:rPr>
          <w:rFonts w:eastAsia="宋体"/>
          <w:kern w:val="2"/>
          <w:sz w:val="21"/>
          <w:szCs w:val="24"/>
          <w:lang w:eastAsia="zh-CN" w:bidi="ar-SA"/>
        </w:rPr>
        <w:t>】添加柚皮苷可以缓解高脂导致的大口黑鲈的肝脏脂质沉积和内质网应激。本研究为水产养殖过程中高脂饲料饲喂提供了一定的理论基础，并为植物提取物在水产饲料中的添加提供参考。</w:t>
      </w:r>
    </w:p>
    <w:p w14:paraId="6AA1A26A">
      <w:pPr>
        <w:pStyle w:val="8"/>
        <w:spacing w:before="63" w:line="280" w:lineRule="auto"/>
        <w:ind w:right="314"/>
        <w:jc w:val="both"/>
        <w:rPr>
          <w:rFonts w:eastAsia="宋体"/>
          <w:kern w:val="2"/>
          <w:sz w:val="21"/>
          <w:szCs w:val="24"/>
          <w:lang w:eastAsia="zh-CN" w:bidi="ar-SA"/>
        </w:rPr>
      </w:pPr>
      <w:r>
        <w:rPr>
          <w:rFonts w:eastAsia="宋体"/>
          <w:b/>
          <w:bCs/>
          <w:kern w:val="2"/>
          <w:sz w:val="21"/>
          <w:szCs w:val="24"/>
          <w:lang w:eastAsia="zh-CN" w:bidi="ar-SA"/>
        </w:rPr>
        <w:t>关键词：</w:t>
      </w:r>
      <w:r>
        <w:rPr>
          <w:rFonts w:eastAsia="宋体"/>
          <w:kern w:val="2"/>
          <w:sz w:val="21"/>
          <w:szCs w:val="24"/>
          <w:lang w:eastAsia="zh-CN" w:bidi="ar-SA"/>
        </w:rPr>
        <w:t>大口黑鲈；柚皮苷；肝脏；脂质代谢；内质网应激</w:t>
      </w:r>
    </w:p>
    <w:p w14:paraId="55E0A7A7">
      <w:pPr>
        <w:jc w:val="center"/>
        <w:rPr>
          <w:rFonts w:ascii="Arial"/>
        </w:rPr>
      </w:pPr>
      <w:r>
        <w:rPr>
          <w:b/>
          <w:bCs/>
          <w:sz w:val="24"/>
        </w:rPr>
        <w:t>Effects of dietary naringin supplementation in high fat on hepatic lipid metabolism and endoplasmic reticulum stress in largemouth bass (Micropterus</w:t>
      </w:r>
      <w:r>
        <w:rPr>
          <w:rFonts w:hint="eastAsia"/>
          <w:b/>
          <w:bCs/>
          <w:sz w:val="24"/>
        </w:rPr>
        <w:t xml:space="preserve"> </w:t>
      </w:r>
      <w:r>
        <w:rPr>
          <w:b/>
          <w:bCs/>
          <w:sz w:val="24"/>
        </w:rPr>
        <w:t>salmoides)</w:t>
      </w:r>
    </w:p>
    <w:p w14:paraId="268CA822">
      <w:pPr>
        <w:spacing w:before="58" w:line="262" w:lineRule="exact"/>
        <w:jc w:val="center"/>
        <w:rPr>
          <w:rFonts w:eastAsia="Times New Roman"/>
          <w:position w:val="3"/>
          <w:sz w:val="20"/>
          <w:szCs w:val="20"/>
        </w:rPr>
      </w:pPr>
      <w:r>
        <w:rPr>
          <w:rFonts w:eastAsia="Times New Roman"/>
          <w:position w:val="3"/>
          <w:sz w:val="20"/>
          <w:szCs w:val="20"/>
        </w:rPr>
        <w:t>Hao Zhiwei, Hu Hailong, Zheng Hua, Zhang Xu, Tan Xiaoying *</w:t>
      </w:r>
    </w:p>
    <w:p w14:paraId="7D1ADA7E">
      <w:pPr>
        <w:spacing w:before="58" w:line="262" w:lineRule="exact"/>
        <w:jc w:val="center"/>
        <w:rPr>
          <w:rFonts w:ascii="Arial"/>
        </w:rPr>
      </w:pPr>
      <w:r>
        <w:rPr>
          <w:rFonts w:eastAsia="Times New Roman"/>
          <w:position w:val="3"/>
          <w:sz w:val="20"/>
          <w:szCs w:val="20"/>
        </w:rPr>
        <w:t>(College of Fisheries, Huazhong Agricultural University, Wuhan 430070, China)</w:t>
      </w:r>
    </w:p>
    <w:p w14:paraId="0A3D122E">
      <w:pPr>
        <w:pStyle w:val="8"/>
        <w:spacing w:line="281" w:lineRule="auto"/>
        <w:ind w:firstLine="3"/>
        <w:jc w:val="both"/>
        <w:rPr>
          <w:kern w:val="2"/>
          <w:sz w:val="20"/>
          <w:szCs w:val="20"/>
          <w:lang w:eastAsia="zh-CN" w:bidi="ar-SA"/>
        </w:rPr>
      </w:pPr>
      <w:r>
        <w:rPr>
          <w:kern w:val="2"/>
          <w:sz w:val="20"/>
          <w:szCs w:val="20"/>
          <w:lang w:eastAsia="zh-CN" w:bidi="ar-SA"/>
        </w:rPr>
        <w:t xml:space="preserve">Abstract: This study investigated the effects of high-fat diet (HFD) and naringin(Nar) supplementation on hepatic lipid </w:t>
      </w:r>
      <w:r>
        <w:rPr>
          <w:rFonts w:hint="eastAsia"/>
          <w:kern w:val="2"/>
          <w:sz w:val="20"/>
          <w:szCs w:val="20"/>
          <w:lang w:eastAsia="zh-CN" w:bidi="ar-SA"/>
        </w:rPr>
        <w:t>metabolism</w:t>
      </w:r>
      <w:r>
        <w:rPr>
          <w:kern w:val="2"/>
          <w:sz w:val="20"/>
          <w:szCs w:val="20"/>
          <w:lang w:eastAsia="zh-CN" w:bidi="ar-SA"/>
        </w:rPr>
        <w:t xml:space="preserve"> and endoplasmic reticulum stress in largemouth bass (</w:t>
      </w:r>
      <w:r>
        <w:rPr>
          <w:i/>
          <w:iCs/>
          <w:kern w:val="2"/>
          <w:sz w:val="20"/>
          <w:szCs w:val="20"/>
          <w:lang w:eastAsia="zh-CN" w:bidi="ar-SA"/>
        </w:rPr>
        <w:t>Micropterus salmoides</w:t>
      </w:r>
      <w:r>
        <w:rPr>
          <w:kern w:val="2"/>
          <w:sz w:val="20"/>
          <w:szCs w:val="20"/>
          <w:lang w:eastAsia="zh-CN" w:bidi="ar-SA"/>
        </w:rPr>
        <w:t>). The aim was to provide a scientific basis for the application of plant extracts as aquaculture feed additives. The experiment used juvenile M. salmoides as the research subjects and set up six groups of feed, namely the control group (10.5% crude lipid), the high-fat group (18.5% crude lipid), the control group + 0.125% Nar, the high-fat group + 0.125% Nar, the control group + 0.25% Nar, and the high-fat group + 0.25% Nar. Each group had three replicates, and the experiment lasted for ten weeks. The results showed that in the HFD group, liver tissue was damaged and vacuolated, and oil red staining revealed a large number of lipid droplets in the liver. The mRNA expression levels of lipid synthesis-related genes (</w:t>
      </w:r>
      <w:r>
        <w:rPr>
          <w:i/>
          <w:iCs/>
          <w:kern w:val="2"/>
          <w:sz w:val="20"/>
          <w:szCs w:val="20"/>
          <w:lang w:eastAsia="zh-CN" w:bidi="ar-SA"/>
        </w:rPr>
        <w:t>scd1</w:t>
      </w:r>
      <w:r>
        <w:rPr>
          <w:kern w:val="2"/>
          <w:sz w:val="20"/>
          <w:szCs w:val="20"/>
          <w:lang w:eastAsia="zh-CN" w:bidi="ar-SA"/>
        </w:rPr>
        <w:t xml:space="preserve">, </w:t>
      </w:r>
      <w:r>
        <w:rPr>
          <w:i/>
          <w:iCs/>
          <w:kern w:val="2"/>
          <w:sz w:val="20"/>
          <w:szCs w:val="20"/>
          <w:lang w:eastAsia="zh-CN" w:bidi="ar-SA"/>
        </w:rPr>
        <w:t>fas</w:t>
      </w:r>
      <w:r>
        <w:rPr>
          <w:kern w:val="2"/>
          <w:sz w:val="20"/>
          <w:szCs w:val="20"/>
          <w:lang w:eastAsia="zh-CN" w:bidi="ar-SA"/>
        </w:rPr>
        <w:t xml:space="preserve">, </w:t>
      </w:r>
      <w:r>
        <w:rPr>
          <w:i/>
          <w:iCs/>
          <w:kern w:val="2"/>
          <w:sz w:val="20"/>
          <w:szCs w:val="20"/>
          <w:lang w:eastAsia="zh-CN" w:bidi="ar-SA"/>
        </w:rPr>
        <w:t>acca</w:t>
      </w:r>
      <w:r>
        <w:rPr>
          <w:kern w:val="2"/>
          <w:sz w:val="20"/>
          <w:szCs w:val="20"/>
          <w:lang w:eastAsia="zh-CN" w:bidi="ar-SA"/>
        </w:rPr>
        <w:t>) and transcription factors SREBP1 and PPARγ were increased, while the mRNA expression levels of lipid decomposition-related genes (</w:t>
      </w:r>
      <w:r>
        <w:rPr>
          <w:i/>
          <w:iCs/>
          <w:kern w:val="2"/>
          <w:sz w:val="20"/>
          <w:szCs w:val="20"/>
          <w:lang w:eastAsia="zh-CN" w:bidi="ar-SA"/>
        </w:rPr>
        <w:t>cpt1</w:t>
      </w:r>
      <w:r>
        <w:rPr>
          <w:kern w:val="2"/>
          <w:sz w:val="20"/>
          <w:szCs w:val="20"/>
          <w:lang w:eastAsia="zh-CN" w:bidi="ar-SA"/>
        </w:rPr>
        <w:t xml:space="preserve">, </w:t>
      </w:r>
      <w:r>
        <w:rPr>
          <w:i/>
          <w:iCs/>
          <w:kern w:val="2"/>
          <w:sz w:val="20"/>
          <w:szCs w:val="20"/>
          <w:lang w:eastAsia="zh-CN" w:bidi="ar-SA"/>
        </w:rPr>
        <w:t>cpt2</w:t>
      </w:r>
      <w:r>
        <w:rPr>
          <w:kern w:val="2"/>
          <w:sz w:val="20"/>
          <w:szCs w:val="20"/>
          <w:lang w:eastAsia="zh-CN" w:bidi="ar-SA"/>
        </w:rPr>
        <w:t xml:space="preserve">, </w:t>
      </w:r>
      <w:r>
        <w:rPr>
          <w:i/>
          <w:iCs/>
          <w:kern w:val="2"/>
          <w:sz w:val="20"/>
          <w:szCs w:val="20"/>
          <w:lang w:eastAsia="zh-CN" w:bidi="ar-SA"/>
        </w:rPr>
        <w:t>atgl</w:t>
      </w:r>
      <w:r>
        <w:rPr>
          <w:kern w:val="2"/>
          <w:sz w:val="20"/>
          <w:szCs w:val="20"/>
          <w:lang w:eastAsia="zh-CN" w:bidi="ar-SA"/>
        </w:rPr>
        <w:t xml:space="preserve">, </w:t>
      </w:r>
      <w:r>
        <w:rPr>
          <w:i/>
          <w:iCs/>
          <w:kern w:val="2"/>
          <w:sz w:val="20"/>
          <w:szCs w:val="20"/>
          <w:lang w:eastAsia="zh-CN" w:bidi="ar-SA"/>
        </w:rPr>
        <w:t>hsl</w:t>
      </w:r>
      <w:r>
        <w:rPr>
          <w:kern w:val="2"/>
          <w:sz w:val="20"/>
          <w:szCs w:val="20"/>
          <w:lang w:eastAsia="zh-CN" w:bidi="ar-SA"/>
        </w:rPr>
        <w:t xml:space="preserve">) and transcription factor PPARα were decreased. The addition of naringin reduced the TG content in the liver and the mRNA expression levels of lipid synthesis-related genes, while increasing the mRNA expression levels of lipid decomposition-related genes. Additionally, </w:t>
      </w:r>
      <w:r>
        <w:rPr>
          <w:rFonts w:hint="eastAsia"/>
          <w:kern w:val="2"/>
          <w:sz w:val="20"/>
          <w:szCs w:val="20"/>
          <w:lang w:eastAsia="zh-CN" w:bidi="ar-SA"/>
        </w:rPr>
        <w:t>compared</w:t>
      </w:r>
      <w:r>
        <w:rPr>
          <w:kern w:val="2"/>
          <w:sz w:val="20"/>
          <w:szCs w:val="20"/>
          <w:lang w:eastAsia="zh-CN" w:bidi="ar-SA"/>
        </w:rPr>
        <w:t xml:space="preserve"> with the control group, the transmission electron microscopy of the liver in the HFD group showed obvious swelling of the endoplasmic reticulum, and the mRNA levels of endoplasmic reticulum stress-related pathway genes (</w:t>
      </w:r>
      <w:r>
        <w:rPr>
          <w:rFonts w:hint="eastAsia"/>
          <w:kern w:val="2"/>
          <w:sz w:val="20"/>
          <w:szCs w:val="20"/>
          <w:lang w:eastAsia="zh-CN" w:bidi="ar-SA"/>
        </w:rPr>
        <w:t>IRE1</w:t>
      </w:r>
      <w:r>
        <w:rPr>
          <w:kern w:val="2"/>
          <w:sz w:val="20"/>
          <w:szCs w:val="20"/>
          <w:lang w:eastAsia="zh-CN" w:bidi="ar-SA"/>
        </w:rPr>
        <w:t>,</w:t>
      </w:r>
      <w:r>
        <w:rPr>
          <w:i/>
          <w:iCs/>
          <w:kern w:val="2"/>
          <w:sz w:val="20"/>
          <w:szCs w:val="20"/>
          <w:lang w:eastAsia="zh-CN" w:bidi="ar-SA"/>
        </w:rPr>
        <w:t xml:space="preserve"> </w:t>
      </w:r>
      <w:r>
        <w:rPr>
          <w:rFonts w:hint="eastAsia"/>
          <w:i/>
          <w:iCs/>
          <w:kern w:val="2"/>
          <w:sz w:val="20"/>
          <w:szCs w:val="20"/>
          <w:lang w:eastAsia="zh-CN" w:bidi="ar-SA"/>
        </w:rPr>
        <w:t>XBP1</w:t>
      </w:r>
      <w:r>
        <w:rPr>
          <w:kern w:val="2"/>
          <w:sz w:val="20"/>
          <w:szCs w:val="20"/>
          <w:lang w:eastAsia="zh-CN" w:bidi="ar-SA"/>
        </w:rPr>
        <w:t xml:space="preserve">, </w:t>
      </w:r>
      <w:r>
        <w:rPr>
          <w:rFonts w:hint="eastAsia"/>
          <w:kern w:val="2"/>
          <w:sz w:val="20"/>
          <w:szCs w:val="20"/>
          <w:lang w:eastAsia="zh-CN" w:bidi="ar-SA"/>
        </w:rPr>
        <w:t>ELF2α</w:t>
      </w:r>
      <w:r>
        <w:rPr>
          <w:kern w:val="2"/>
          <w:sz w:val="20"/>
          <w:szCs w:val="20"/>
          <w:lang w:eastAsia="zh-CN" w:bidi="ar-SA"/>
        </w:rPr>
        <w:t xml:space="preserve">, </w:t>
      </w:r>
      <w:r>
        <w:rPr>
          <w:rFonts w:hint="eastAsia"/>
          <w:kern w:val="2"/>
          <w:sz w:val="20"/>
          <w:szCs w:val="20"/>
          <w:lang w:eastAsia="zh-CN" w:bidi="ar-SA"/>
        </w:rPr>
        <w:t>ATF4</w:t>
      </w:r>
      <w:r>
        <w:rPr>
          <w:kern w:val="2"/>
          <w:sz w:val="20"/>
          <w:szCs w:val="20"/>
          <w:lang w:eastAsia="zh-CN" w:bidi="ar-SA"/>
        </w:rPr>
        <w:t xml:space="preserve">, </w:t>
      </w:r>
      <w:r>
        <w:rPr>
          <w:rFonts w:hint="eastAsia"/>
          <w:kern w:val="2"/>
          <w:sz w:val="20"/>
          <w:szCs w:val="20"/>
          <w:lang w:eastAsia="zh-CN" w:bidi="ar-SA"/>
        </w:rPr>
        <w:t>ATF6</w:t>
      </w:r>
      <w:r>
        <w:rPr>
          <w:kern w:val="2"/>
          <w:sz w:val="20"/>
          <w:szCs w:val="20"/>
          <w:lang w:eastAsia="zh-CN" w:bidi="ar-SA"/>
        </w:rPr>
        <w:t xml:space="preserve">, </w:t>
      </w:r>
      <w:r>
        <w:rPr>
          <w:rFonts w:hint="eastAsia"/>
          <w:kern w:val="2"/>
          <w:sz w:val="20"/>
          <w:szCs w:val="20"/>
          <w:lang w:eastAsia="zh-CN" w:bidi="ar-SA"/>
        </w:rPr>
        <w:t>GRP78</w:t>
      </w:r>
      <w:r>
        <w:rPr>
          <w:kern w:val="2"/>
          <w:sz w:val="20"/>
          <w:szCs w:val="20"/>
          <w:lang w:eastAsia="zh-CN" w:bidi="ar-SA"/>
        </w:rPr>
        <w:t xml:space="preserve">) and the expression level of the endoplasmic reticulum stress marker protein GRP78 were increased. The addition of naringin alleviated the swelling of the endoplasmic reticulum in the liver and decreased the mRNA levels of endoplasmic reticulum stress-related pathway genes and the expression level of the endoplasmic reticulum stress marker protein GRP78. In conclusion, </w:t>
      </w:r>
      <w:r>
        <w:rPr>
          <w:rFonts w:hint="eastAsia"/>
          <w:kern w:val="2"/>
          <w:sz w:val="20"/>
          <w:szCs w:val="20"/>
          <w:lang w:eastAsia="zh-CN" w:bidi="ar-SA"/>
        </w:rPr>
        <w:t>Dietary</w:t>
      </w:r>
      <w:r>
        <w:rPr>
          <w:kern w:val="2"/>
          <w:sz w:val="20"/>
          <w:szCs w:val="20"/>
          <w:lang w:eastAsia="zh-CN" w:bidi="ar-SA"/>
        </w:rPr>
        <w:t xml:space="preserve"> naringin supplementation can alleviate HFD-induced hepatic lipid deposition and endoplasmic reticulum stress in </w:t>
      </w:r>
      <w:r>
        <w:rPr>
          <w:i/>
          <w:iCs/>
          <w:kern w:val="2"/>
          <w:sz w:val="20"/>
          <w:szCs w:val="20"/>
          <w:lang w:eastAsia="zh-CN" w:bidi="ar-SA"/>
        </w:rPr>
        <w:t>M. salmoides</w:t>
      </w:r>
      <w:r>
        <w:rPr>
          <w:kern w:val="2"/>
          <w:sz w:val="20"/>
          <w:szCs w:val="20"/>
          <w:lang w:eastAsia="zh-CN" w:bidi="ar-SA"/>
        </w:rPr>
        <w:t>. This provides a theoretical basis for the utilization of high-fat feed in aquaculture and offers reference into the addition of plant extracts in aquaculture feed.</w:t>
      </w:r>
    </w:p>
    <w:p w14:paraId="63EF32AB">
      <w:pPr>
        <w:pStyle w:val="8"/>
        <w:spacing w:line="281" w:lineRule="auto"/>
        <w:rPr>
          <w:kern w:val="2"/>
          <w:sz w:val="20"/>
          <w:szCs w:val="20"/>
          <w:lang w:eastAsia="zh-CN" w:bidi="ar-SA"/>
        </w:rPr>
      </w:pPr>
      <w:r>
        <w:rPr>
          <w:kern w:val="2"/>
          <w:sz w:val="20"/>
          <w:szCs w:val="20"/>
          <w:lang w:eastAsia="zh-CN" w:bidi="ar-SA"/>
        </w:rPr>
        <w:t xml:space="preserve">Key words: </w:t>
      </w:r>
      <w:r>
        <w:rPr>
          <w:i/>
          <w:iCs/>
          <w:kern w:val="2"/>
          <w:sz w:val="20"/>
          <w:szCs w:val="20"/>
          <w:lang w:eastAsia="zh-CN" w:bidi="ar-SA"/>
        </w:rPr>
        <w:t>Micropterus salmoides</w:t>
      </w:r>
      <w:r>
        <w:rPr>
          <w:kern w:val="2"/>
          <w:sz w:val="20"/>
          <w:szCs w:val="20"/>
          <w:lang w:eastAsia="zh-CN" w:bidi="ar-SA"/>
        </w:rPr>
        <w:t>; naringin; liver; lipid metabolism; endoplasmic reticulum stress</w:t>
      </w:r>
    </w:p>
    <w:p w14:paraId="6A77C0A8">
      <w:pPr>
        <w:spacing w:line="360" w:lineRule="auto"/>
        <w:ind w:firstLine="480" w:firstLineChars="200"/>
        <w:rPr>
          <w:sz w:val="24"/>
        </w:rPr>
      </w:pPr>
    </w:p>
    <w:p w14:paraId="0F26D483">
      <w:pPr>
        <w:spacing w:line="360" w:lineRule="auto"/>
        <w:ind w:firstLine="480" w:firstLineChars="200"/>
        <w:rPr>
          <w:sz w:val="24"/>
        </w:rPr>
      </w:pPr>
      <w:r>
        <w:rPr>
          <w:sz w:val="24"/>
        </w:rPr>
        <w:t>在水产养殖中，高脂饲料因能促进鱼类生长，降低饲料成本而被广泛用于水产</w:t>
      </w:r>
      <w:r>
        <w:rPr>
          <w:rFonts w:hint="eastAsia"/>
          <w:sz w:val="24"/>
        </w:rPr>
        <w:t>养殖</w:t>
      </w:r>
      <w:r>
        <w:rPr>
          <w:sz w:val="24"/>
        </w:rPr>
        <w:t>。高脂饲料虽然短期内能提高鱼类的生长性能，产生经济效益</w:t>
      </w:r>
      <w:r>
        <w:rPr>
          <w:sz w:val="24"/>
          <w:vertAlign w:val="superscript"/>
        </w:rPr>
        <w:t>[</w:t>
      </w:r>
      <w:r>
        <w:fldChar w:fldCharType="begin"/>
      </w:r>
      <w:r>
        <w:instrText xml:space="preserve"> HYPERLINK \l "bookmark1" </w:instrText>
      </w:r>
      <w:r>
        <w:fldChar w:fldCharType="separate"/>
      </w:r>
      <w:r>
        <w:rPr>
          <w:sz w:val="24"/>
          <w:vertAlign w:val="superscript"/>
        </w:rPr>
        <w:t>1</w:t>
      </w:r>
      <w:r>
        <w:rPr>
          <w:sz w:val="24"/>
          <w:vertAlign w:val="superscript"/>
        </w:rPr>
        <w:fldChar w:fldCharType="end"/>
      </w:r>
      <w:r>
        <w:rPr>
          <w:sz w:val="24"/>
          <w:vertAlign w:val="superscript"/>
        </w:rPr>
        <w:t>]</w:t>
      </w:r>
      <w:r>
        <w:rPr>
          <w:sz w:val="24"/>
        </w:rPr>
        <w:t>，但是长期饲喂高脂饲料会使</w:t>
      </w:r>
      <w:r>
        <w:rPr>
          <w:rFonts w:hint="eastAsia"/>
          <w:sz w:val="24"/>
        </w:rPr>
        <w:t>鱼类</w:t>
      </w:r>
      <w:r>
        <w:rPr>
          <w:sz w:val="24"/>
        </w:rPr>
        <w:t>产生诸多不良影响。高脂饲料会引发肝脏代谢紊乱。在鱼类中，高脂饲料</w:t>
      </w:r>
      <w:r>
        <w:rPr>
          <w:rFonts w:hint="eastAsia"/>
          <w:sz w:val="24"/>
        </w:rPr>
        <w:t>（</w:t>
      </w:r>
      <w:r>
        <w:rPr>
          <w:sz w:val="24"/>
        </w:rPr>
        <w:t>HFD</w:t>
      </w:r>
      <w:r>
        <w:rPr>
          <w:rFonts w:hint="eastAsia"/>
          <w:sz w:val="24"/>
        </w:rPr>
        <w:t>）</w:t>
      </w:r>
      <w:r>
        <w:rPr>
          <w:sz w:val="24"/>
        </w:rPr>
        <w:t>通过扰乱肝脏脂质动态平衡，导致脂质合成与分解代谢的稳态失衡，其中固醇调节元件结合蛋白</w:t>
      </w:r>
      <w:r>
        <w:rPr>
          <w:rFonts w:hint="eastAsia"/>
          <w:sz w:val="24"/>
        </w:rPr>
        <w:t>（</w:t>
      </w:r>
      <w:r>
        <w:rPr>
          <w:sz w:val="24"/>
        </w:rPr>
        <w:t>SREBPs</w:t>
      </w:r>
      <w:r>
        <w:rPr>
          <w:rFonts w:hint="eastAsia"/>
          <w:sz w:val="24"/>
        </w:rPr>
        <w:t>）</w:t>
      </w:r>
      <w:r>
        <w:rPr>
          <w:sz w:val="24"/>
        </w:rPr>
        <w:t>的过度激活与过氧化物酶体增殖物激活受体</w:t>
      </w:r>
      <w:r>
        <w:rPr>
          <w:rFonts w:hint="eastAsia"/>
          <w:sz w:val="24"/>
        </w:rPr>
        <w:t>（</w:t>
      </w:r>
      <w:r>
        <w:rPr>
          <w:sz w:val="24"/>
        </w:rPr>
        <w:t>PPARα</w:t>
      </w:r>
      <w:r>
        <w:rPr>
          <w:rFonts w:hint="eastAsia"/>
          <w:sz w:val="24"/>
        </w:rPr>
        <w:t>）</w:t>
      </w:r>
      <w:r>
        <w:rPr>
          <w:sz w:val="24"/>
        </w:rPr>
        <w:t>信号抑制共同驱动脂质异常蓄积，形成脂肪沉积表型</w:t>
      </w:r>
      <w:r>
        <w:rPr>
          <w:sz w:val="24"/>
          <w:vertAlign w:val="superscript"/>
        </w:rPr>
        <w:t>[</w:t>
      </w:r>
      <w:r>
        <w:fldChar w:fldCharType="begin"/>
      </w:r>
      <w:r>
        <w:instrText xml:space="preserve"> HYPERLINK \l "bookmark2" </w:instrText>
      </w:r>
      <w:r>
        <w:fldChar w:fldCharType="separate"/>
      </w:r>
      <w:r>
        <w:rPr>
          <w:sz w:val="24"/>
          <w:vertAlign w:val="superscript"/>
        </w:rPr>
        <w:t>2</w:t>
      </w:r>
      <w:r>
        <w:rPr>
          <w:sz w:val="24"/>
          <w:vertAlign w:val="superscript"/>
        </w:rPr>
        <w:fldChar w:fldCharType="end"/>
      </w:r>
      <w:r>
        <w:rPr>
          <w:sz w:val="24"/>
          <w:vertAlign w:val="superscript"/>
        </w:rPr>
        <w:t>]</w:t>
      </w:r>
      <w:r>
        <w:rPr>
          <w:sz w:val="24"/>
        </w:rPr>
        <w:t>。在斑马鱼</w:t>
      </w:r>
      <w:r>
        <w:rPr>
          <w:rFonts w:hint="eastAsia"/>
          <w:sz w:val="24"/>
        </w:rPr>
        <w:t>（</w:t>
      </w:r>
      <w:r>
        <w:rPr>
          <w:i/>
          <w:iCs/>
          <w:sz w:val="24"/>
        </w:rPr>
        <w:t>Danio rerio</w:t>
      </w:r>
      <w:r>
        <w:rPr>
          <w:rFonts w:hint="eastAsia"/>
          <w:sz w:val="24"/>
        </w:rPr>
        <w:t>）</w:t>
      </w:r>
      <w:r>
        <w:rPr>
          <w:sz w:val="24"/>
        </w:rPr>
        <w:t>中，高脂饲料导致的代谢紊乱会进一步引发线粒体功能紊乱，产生过多的活性氧诱发脂质过氧化连锁反应</w:t>
      </w:r>
      <w:r>
        <w:rPr>
          <w:sz w:val="24"/>
          <w:vertAlign w:val="superscript"/>
        </w:rPr>
        <w:t>[</w:t>
      </w:r>
      <w:r>
        <w:fldChar w:fldCharType="begin"/>
      </w:r>
      <w:r>
        <w:instrText xml:space="preserve"> HYPERLINK \l "bookmark3" </w:instrText>
      </w:r>
      <w:r>
        <w:fldChar w:fldCharType="separate"/>
      </w:r>
      <w:r>
        <w:rPr>
          <w:sz w:val="24"/>
          <w:vertAlign w:val="superscript"/>
        </w:rPr>
        <w:t>3</w:t>
      </w:r>
      <w:r>
        <w:rPr>
          <w:sz w:val="24"/>
          <w:vertAlign w:val="superscript"/>
        </w:rPr>
        <w:fldChar w:fldCharType="end"/>
      </w:r>
      <w:r>
        <w:rPr>
          <w:sz w:val="24"/>
          <w:vertAlign w:val="superscript"/>
        </w:rPr>
        <w:t>-</w:t>
      </w:r>
      <w:r>
        <w:fldChar w:fldCharType="begin"/>
      </w:r>
      <w:r>
        <w:instrText xml:space="preserve"> HYPERLINK \l "bookmark4" </w:instrText>
      </w:r>
      <w:r>
        <w:fldChar w:fldCharType="separate"/>
      </w:r>
      <w:r>
        <w:rPr>
          <w:sz w:val="24"/>
          <w:vertAlign w:val="superscript"/>
        </w:rPr>
        <w:t>4</w:t>
      </w:r>
      <w:r>
        <w:rPr>
          <w:sz w:val="24"/>
          <w:vertAlign w:val="superscript"/>
        </w:rPr>
        <w:fldChar w:fldCharType="end"/>
      </w:r>
      <w:r>
        <w:rPr>
          <w:sz w:val="24"/>
          <w:vertAlign w:val="superscript"/>
        </w:rPr>
        <w:t>]</w:t>
      </w:r>
      <w:r>
        <w:rPr>
          <w:sz w:val="24"/>
        </w:rPr>
        <w:t>。</w:t>
      </w:r>
    </w:p>
    <w:p w14:paraId="5FB35325">
      <w:pPr>
        <w:spacing w:line="360" w:lineRule="auto"/>
        <w:ind w:firstLine="480" w:firstLineChars="200"/>
        <w:rPr>
          <w:sz w:val="24"/>
        </w:rPr>
      </w:pPr>
      <w:r>
        <w:rPr>
          <w:sz w:val="24"/>
        </w:rPr>
        <w:t>内质网是脂质合成和蛋白质折叠的场所。鱼类在长期饲喂高脂饲料后，会发生内质网应激反应</w:t>
      </w:r>
      <w:r>
        <w:rPr>
          <w:sz w:val="24"/>
          <w:vertAlign w:val="superscript"/>
        </w:rPr>
        <w:t>[</w:t>
      </w:r>
      <w:r>
        <w:fldChar w:fldCharType="begin"/>
      </w:r>
      <w:r>
        <w:instrText xml:space="preserve"> HYPERLINK \l "bookmark5" </w:instrText>
      </w:r>
      <w:r>
        <w:fldChar w:fldCharType="separate"/>
      </w:r>
      <w:r>
        <w:rPr>
          <w:sz w:val="24"/>
          <w:vertAlign w:val="superscript"/>
        </w:rPr>
        <w:t>5</w:t>
      </w:r>
      <w:r>
        <w:rPr>
          <w:sz w:val="24"/>
          <w:vertAlign w:val="superscript"/>
        </w:rPr>
        <w:fldChar w:fldCharType="end"/>
      </w:r>
      <w:r>
        <w:rPr>
          <w:sz w:val="24"/>
          <w:vertAlign w:val="superscript"/>
        </w:rPr>
        <w:t>-</w:t>
      </w:r>
      <w:r>
        <w:fldChar w:fldCharType="begin"/>
      </w:r>
      <w:r>
        <w:instrText xml:space="preserve"> HYPERLINK \l "bookmark6" </w:instrText>
      </w:r>
      <w:r>
        <w:fldChar w:fldCharType="separate"/>
      </w:r>
      <w:r>
        <w:rPr>
          <w:sz w:val="24"/>
          <w:vertAlign w:val="superscript"/>
        </w:rPr>
        <w:t>6</w:t>
      </w:r>
      <w:r>
        <w:rPr>
          <w:sz w:val="24"/>
          <w:vertAlign w:val="superscript"/>
        </w:rPr>
        <w:fldChar w:fldCharType="end"/>
      </w:r>
      <w:r>
        <w:rPr>
          <w:sz w:val="24"/>
          <w:vertAlign w:val="superscript"/>
        </w:rPr>
        <w:t>]</w:t>
      </w:r>
      <w:r>
        <w:rPr>
          <w:sz w:val="24"/>
        </w:rPr>
        <w:t>。高脂导致的慢性内质网应激会促进凋亡因子CHOP和Caspase通路的异常激活，驱动细胞死亡程序</w:t>
      </w:r>
      <w:r>
        <w:rPr>
          <w:sz w:val="24"/>
          <w:vertAlign w:val="superscript"/>
        </w:rPr>
        <w:fldChar w:fldCharType="begin"/>
      </w:r>
      <w:r>
        <w:rPr>
          <w:sz w:val="24"/>
          <w:vertAlign w:val="superscript"/>
        </w:rPr>
        <w:instrText xml:space="preserve"> HYPERLINK \l "bookmark8"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"bookmark7" </w:instrText>
      </w:r>
      <w:r>
        <w:fldChar w:fldCharType="separate"/>
      </w:r>
      <w:r>
        <w:rPr>
          <w:sz w:val="24"/>
          <w:vertAlign w:val="superscript"/>
        </w:rPr>
        <w:t>7</w:t>
      </w:r>
      <w:r>
        <w:rPr>
          <w:sz w:val="24"/>
          <w:vertAlign w:val="superscript"/>
        </w:rPr>
        <w:fldChar w:fldCharType="end"/>
      </w:r>
      <w:r>
        <w:rPr>
          <w:sz w:val="24"/>
          <w:vertAlign w:val="superscript"/>
        </w:rPr>
        <w:t>]</w:t>
      </w:r>
      <w:r>
        <w:rPr>
          <w:sz w:val="24"/>
        </w:rPr>
        <w:t>。在钝头鮠</w:t>
      </w:r>
      <w:r>
        <w:rPr>
          <w:rFonts w:hint="eastAsia"/>
          <w:sz w:val="24"/>
        </w:rPr>
        <w:t>（</w:t>
      </w:r>
      <w:r>
        <w:rPr>
          <w:i/>
          <w:iCs/>
          <w:sz w:val="24"/>
        </w:rPr>
        <w:t>Leiocassis crassirostris</w:t>
      </w:r>
      <w:r>
        <w:rPr>
          <w:rFonts w:hint="eastAsia"/>
          <w:sz w:val="24"/>
        </w:rPr>
        <w:t>）</w:t>
      </w:r>
      <w:r>
        <w:rPr>
          <w:sz w:val="24"/>
        </w:rPr>
        <w:t xml:space="preserve"> 中，高脂饲料导致内质网肿胀、核糖体丢失、内质网应激UPR通路中的相关基因表达升高</w:t>
      </w:r>
      <w:r>
        <w:rPr>
          <w:sz w:val="24"/>
          <w:vertAlign w:val="superscript"/>
        </w:rPr>
        <w:t>[</w:t>
      </w:r>
      <w:r>
        <w:fldChar w:fldCharType="begin"/>
      </w:r>
      <w:r>
        <w:instrText xml:space="preserve"> HYPERLINK \l "bookmark9" </w:instrText>
      </w:r>
      <w:r>
        <w:fldChar w:fldCharType="separate"/>
      </w:r>
      <w:r>
        <w:rPr>
          <w:sz w:val="24"/>
          <w:vertAlign w:val="superscript"/>
        </w:rPr>
        <w:t>8</w:t>
      </w:r>
      <w:r>
        <w:rPr>
          <w:sz w:val="24"/>
          <w:vertAlign w:val="superscript"/>
        </w:rPr>
        <w:fldChar w:fldCharType="end"/>
      </w:r>
      <w:r>
        <w:rPr>
          <w:sz w:val="24"/>
          <w:vertAlign w:val="superscript"/>
        </w:rPr>
        <w:t>]</w:t>
      </w:r>
      <w:r>
        <w:rPr>
          <w:sz w:val="24"/>
        </w:rPr>
        <w:t>。在大黄鱼</w:t>
      </w:r>
      <w:r>
        <w:rPr>
          <w:rFonts w:hint="eastAsia"/>
          <w:sz w:val="24"/>
        </w:rPr>
        <w:t>（</w:t>
      </w:r>
      <w:r>
        <w:rPr>
          <w:i/>
          <w:iCs/>
          <w:sz w:val="24"/>
        </w:rPr>
        <w:t>Larimichthys crocea</w:t>
      </w:r>
      <w:r>
        <w:rPr>
          <w:rFonts w:hint="eastAsia"/>
          <w:sz w:val="24"/>
        </w:rPr>
        <w:t>）</w:t>
      </w:r>
      <w:r>
        <w:rPr>
          <w:sz w:val="24"/>
        </w:rPr>
        <w:t xml:space="preserve"> 中，内质网应激会扰乱脂质代谢，通过促进脂质合成诱导甘油三酯在细胞中过度积累并产生炎症反应</w:t>
      </w:r>
      <w:r>
        <w:rPr>
          <w:sz w:val="24"/>
          <w:vertAlign w:val="superscript"/>
        </w:rPr>
        <w:t>[</w:t>
      </w:r>
      <w:r>
        <w:fldChar w:fldCharType="begin"/>
      </w:r>
      <w:r>
        <w:instrText xml:space="preserve"> HYPERLINK \l "bookmark10" </w:instrText>
      </w:r>
      <w:r>
        <w:fldChar w:fldCharType="separate"/>
      </w:r>
      <w:r>
        <w:rPr>
          <w:sz w:val="24"/>
          <w:vertAlign w:val="superscript"/>
        </w:rPr>
        <w:t>9</w:t>
      </w:r>
      <w:r>
        <w:rPr>
          <w:sz w:val="24"/>
          <w:vertAlign w:val="superscript"/>
        </w:rPr>
        <w:fldChar w:fldCharType="end"/>
      </w:r>
      <w:r>
        <w:rPr>
          <w:sz w:val="24"/>
          <w:vertAlign w:val="superscript"/>
        </w:rPr>
        <w:t>]</w:t>
      </w:r>
      <w:r>
        <w:rPr>
          <w:sz w:val="24"/>
        </w:rPr>
        <w:t>。</w:t>
      </w:r>
    </w:p>
    <w:p w14:paraId="7D899D10">
      <w:pPr>
        <w:spacing w:line="360" w:lineRule="auto"/>
        <w:ind w:firstLine="480" w:firstLineChars="200"/>
        <w:rPr>
          <w:sz w:val="24"/>
        </w:rPr>
      </w:pPr>
      <w:r>
        <w:rPr>
          <w:sz w:val="24"/>
        </w:rPr>
        <w:t>近年来，植物提取物因具有多种生物活性，被广泛应用于水产动物研究中。柚皮苷作为一种黄酮类植物提取物，具有抗氧化、抗炎及调节脂代谢等多重作用。研究表明，柚皮苷能显著抑制肝脏HepG2细胞中NF-kB信号级联反应，降低肝脏中促炎因子的表达</w:t>
      </w:r>
      <w:r>
        <w:rPr>
          <w:sz w:val="24"/>
          <w:vertAlign w:val="superscript"/>
        </w:rPr>
        <w:t>[</w:t>
      </w:r>
      <w:r>
        <w:fldChar w:fldCharType="begin"/>
      </w:r>
      <w:r>
        <w:instrText xml:space="preserve"> HYPERLINK \l "bookmark11" </w:instrText>
      </w:r>
      <w:r>
        <w:fldChar w:fldCharType="separate"/>
      </w:r>
      <w:r>
        <w:rPr>
          <w:sz w:val="24"/>
          <w:vertAlign w:val="superscript"/>
        </w:rPr>
        <w:t>10</w:t>
      </w:r>
      <w:r>
        <w:rPr>
          <w:sz w:val="24"/>
          <w:vertAlign w:val="superscript"/>
        </w:rPr>
        <w:fldChar w:fldCharType="end"/>
      </w:r>
      <w:r>
        <w:rPr>
          <w:sz w:val="24"/>
          <w:vertAlign w:val="superscript"/>
        </w:rPr>
        <w:t>]</w:t>
      </w:r>
      <w:r>
        <w:rPr>
          <w:sz w:val="24"/>
        </w:rPr>
        <w:t>。在小鼠</w:t>
      </w:r>
      <w:r>
        <w:rPr>
          <w:rFonts w:hint="eastAsia"/>
          <w:sz w:val="24"/>
        </w:rPr>
        <w:t>（</w:t>
      </w:r>
      <w:r>
        <w:rPr>
          <w:i/>
          <w:iCs/>
          <w:sz w:val="24"/>
        </w:rPr>
        <w:t>Mus musculus</w:t>
      </w:r>
      <w:r>
        <w:rPr>
          <w:rFonts w:hint="eastAsia"/>
          <w:sz w:val="24"/>
        </w:rPr>
        <w:t>）</w:t>
      </w:r>
      <w:r>
        <w:rPr>
          <w:sz w:val="24"/>
        </w:rPr>
        <w:t>中，柚皮苷可通过激活 Nrf2/Keap1通路显著提升抗氧化酶活性</w:t>
      </w:r>
      <w:r>
        <w:rPr>
          <w:sz w:val="24"/>
          <w:vertAlign w:val="superscript"/>
        </w:rPr>
        <w:t>[</w:t>
      </w:r>
      <w:r>
        <w:fldChar w:fldCharType="begin"/>
      </w:r>
      <w:r>
        <w:instrText xml:space="preserve"> HYPERLINK \l "bookmark12" </w:instrText>
      </w:r>
      <w:r>
        <w:fldChar w:fldCharType="separate"/>
      </w:r>
      <w:r>
        <w:rPr>
          <w:sz w:val="24"/>
          <w:vertAlign w:val="superscript"/>
        </w:rPr>
        <w:t>11</w:t>
      </w:r>
      <w:r>
        <w:rPr>
          <w:sz w:val="24"/>
          <w:vertAlign w:val="superscript"/>
        </w:rPr>
        <w:fldChar w:fldCharType="end"/>
      </w:r>
      <w:r>
        <w:rPr>
          <w:sz w:val="24"/>
          <w:vertAlign w:val="superscript"/>
        </w:rPr>
        <w:t>]</w:t>
      </w:r>
      <w:r>
        <w:rPr>
          <w:sz w:val="24"/>
        </w:rPr>
        <w:t>。此外，在巨噬细胞中，柚皮苷通过抑制糖酵解和促进脂肪酸氧化代谢恢复巨噬细胞的代谢稳态</w:t>
      </w:r>
      <w:r>
        <w:rPr>
          <w:sz w:val="24"/>
          <w:vertAlign w:val="superscript"/>
        </w:rPr>
        <w:t>[</w:t>
      </w:r>
      <w:r>
        <w:fldChar w:fldCharType="begin"/>
      </w:r>
      <w:r>
        <w:instrText xml:space="preserve"> HYPERLINK \l "bookmark13" </w:instrText>
      </w:r>
      <w:r>
        <w:fldChar w:fldCharType="separate"/>
      </w:r>
      <w:r>
        <w:rPr>
          <w:sz w:val="24"/>
          <w:vertAlign w:val="superscript"/>
        </w:rPr>
        <w:t>12</w:t>
      </w:r>
      <w:r>
        <w:rPr>
          <w:sz w:val="24"/>
          <w:vertAlign w:val="superscript"/>
        </w:rPr>
        <w:fldChar w:fldCharType="end"/>
      </w:r>
      <w:r>
        <w:rPr>
          <w:sz w:val="24"/>
          <w:vertAlign w:val="superscript"/>
        </w:rPr>
        <w:t>]</w:t>
      </w:r>
      <w:r>
        <w:rPr>
          <w:sz w:val="24"/>
        </w:rPr>
        <w:t>。</w:t>
      </w:r>
    </w:p>
    <w:p w14:paraId="235B5ADC">
      <w:pPr>
        <w:spacing w:line="360" w:lineRule="auto"/>
        <w:ind w:firstLine="480" w:firstLineChars="200"/>
        <w:rPr>
          <w:sz w:val="24"/>
        </w:rPr>
      </w:pPr>
      <w:r>
        <w:rPr>
          <w:sz w:val="24"/>
        </w:rPr>
        <w:t>大口黑鲈</w:t>
      </w:r>
      <w:r>
        <w:rPr>
          <w:rFonts w:hint="eastAsia"/>
          <w:sz w:val="24"/>
        </w:rPr>
        <w:t>（</w:t>
      </w:r>
      <w:r>
        <w:rPr>
          <w:i/>
          <w:iCs/>
          <w:sz w:val="24"/>
        </w:rPr>
        <w:t>Micropterus salmoides</w:t>
      </w:r>
      <w:r>
        <w:rPr>
          <w:rFonts w:hint="eastAsia"/>
          <w:sz w:val="24"/>
        </w:rPr>
        <w:t>）</w:t>
      </w:r>
      <w:r>
        <w:rPr>
          <w:sz w:val="24"/>
        </w:rPr>
        <w:t>是北美淡水水域原产的鱼类，因其成长迅速、肌肉品质好，是水产养殖中的重要经济物种。本研究探讨了高脂饲料和柚皮苷对大口黑鲈肝脏脂代谢的影响，证实柚皮苷</w:t>
      </w:r>
      <w:r>
        <w:rPr>
          <w:rFonts w:hint="eastAsia"/>
          <w:sz w:val="24"/>
        </w:rPr>
        <w:t>对</w:t>
      </w:r>
      <w:r>
        <w:rPr>
          <w:sz w:val="24"/>
        </w:rPr>
        <w:t>鱼类肝脏的有益影响。本研究表明柚皮苷可以作为高脂饲料的有效添加剂，缓解肝脏脂质沉积，促进大口黑鲈的生长。</w:t>
      </w:r>
    </w:p>
    <w:p w14:paraId="02B98111">
      <w:pPr>
        <w:spacing w:line="360" w:lineRule="auto"/>
        <w:rPr>
          <w:sz w:val="24"/>
        </w:rPr>
      </w:pPr>
    </w:p>
    <w:p w14:paraId="2199262B">
      <w:pPr>
        <w:spacing w:line="360" w:lineRule="auto"/>
        <w:rPr>
          <w:sz w:val="24"/>
        </w:rPr>
      </w:pPr>
      <w:r>
        <w:rPr>
          <w:sz w:val="24"/>
        </w:rPr>
        <w:t>1  材料与方法</w:t>
      </w:r>
    </w:p>
    <w:p w14:paraId="0B5A13EC">
      <w:pPr>
        <w:spacing w:line="360" w:lineRule="auto"/>
        <w:rPr>
          <w:sz w:val="24"/>
        </w:rPr>
      </w:pPr>
      <w:r>
        <w:rPr>
          <w:sz w:val="24"/>
        </w:rPr>
        <w:t>1.1  饲料配方与饲料管理</w:t>
      </w:r>
    </w:p>
    <w:p w14:paraId="19BAF61D">
      <w:pPr>
        <w:spacing w:line="360" w:lineRule="auto"/>
        <w:ind w:firstLine="480" w:firstLineChars="200"/>
        <w:rPr>
          <w:sz w:val="24"/>
        </w:rPr>
      </w:pPr>
      <w:r>
        <w:rPr>
          <w:sz w:val="24"/>
        </w:rPr>
        <w:t>大口黑鲈饲料制作方法根据实验室之前</w:t>
      </w:r>
      <w:r>
        <w:rPr>
          <w:rFonts w:hint="eastAsia"/>
          <w:sz w:val="24"/>
        </w:rPr>
        <w:t>研究</w:t>
      </w:r>
      <w:r>
        <w:rPr>
          <w:sz w:val="24"/>
        </w:rPr>
        <w:t>制备</w:t>
      </w:r>
      <w:r>
        <w:rPr>
          <w:sz w:val="24"/>
          <w:vertAlign w:val="superscript"/>
        </w:rPr>
        <w:t>[</w:t>
      </w:r>
      <w:r>
        <w:fldChar w:fldCharType="begin"/>
      </w:r>
      <w:r>
        <w:instrText xml:space="preserve"> HYPERLINK \l "bookmark14" </w:instrText>
      </w:r>
      <w:r>
        <w:fldChar w:fldCharType="separate"/>
      </w:r>
      <w:r>
        <w:rPr>
          <w:sz w:val="24"/>
          <w:vertAlign w:val="superscript"/>
        </w:rPr>
        <w:t>13</w:t>
      </w:r>
      <w:r>
        <w:rPr>
          <w:sz w:val="24"/>
          <w:vertAlign w:val="superscript"/>
        </w:rPr>
        <w:fldChar w:fldCharType="end"/>
      </w:r>
      <w:r>
        <w:rPr>
          <w:sz w:val="24"/>
          <w:vertAlign w:val="superscript"/>
        </w:rPr>
        <w:t>]</w:t>
      </w:r>
      <w:r>
        <w:rPr>
          <w:sz w:val="24"/>
        </w:rPr>
        <w:t>。本实验以鱼粉、菜粕、棉粕和鸡肉粉为</w:t>
      </w:r>
      <w:r>
        <w:rPr>
          <w:rFonts w:hint="eastAsia"/>
          <w:sz w:val="24"/>
        </w:rPr>
        <w:t>蛋白质</w:t>
      </w:r>
      <w:r>
        <w:rPr>
          <w:sz w:val="24"/>
        </w:rPr>
        <w:t>源，新鲜鱼油和豆油为脂肪源</w:t>
      </w:r>
      <w:r>
        <w:rPr>
          <w:rFonts w:hint="eastAsia"/>
          <w:sz w:val="24"/>
        </w:rPr>
        <w:t>（</w:t>
      </w:r>
      <w:r>
        <w:rPr>
          <w:sz w:val="24"/>
        </w:rPr>
        <w:t>1∶1</w:t>
      </w:r>
      <w:r>
        <w:rPr>
          <w:rFonts w:hint="eastAsia"/>
          <w:sz w:val="24"/>
        </w:rPr>
        <w:t>，</w:t>
      </w:r>
      <w:r>
        <w:rPr>
          <w:sz w:val="24"/>
        </w:rPr>
        <w:t>质量比</w:t>
      </w:r>
      <w:r>
        <w:rPr>
          <w:rFonts w:hint="eastAsia"/>
          <w:sz w:val="24"/>
        </w:rPr>
        <w:t>）</w:t>
      </w:r>
      <w:r>
        <w:rPr>
          <w:sz w:val="24"/>
        </w:rPr>
        <w:t>，小麦淀粉为糖源。配制 6 种实验饲料</w:t>
      </w:r>
      <w:r>
        <w:rPr>
          <w:rFonts w:hint="eastAsia"/>
          <w:sz w:val="24"/>
        </w:rPr>
        <w:t>（</w:t>
      </w:r>
      <w:r>
        <w:fldChar w:fldCharType="begin"/>
      </w:r>
      <w:r>
        <w:instrText xml:space="preserve"> HYPERLINK \l "bookmark15" </w:instrText>
      </w:r>
      <w:r>
        <w:fldChar w:fldCharType="separate"/>
      </w:r>
      <w:r>
        <w:rPr>
          <w:sz w:val="24"/>
        </w:rPr>
        <w:t>表1</w:t>
      </w:r>
      <w:r>
        <w:rPr>
          <w:sz w:val="24"/>
        </w:rPr>
        <w:fldChar w:fldCharType="end"/>
      </w:r>
      <w:r>
        <w:rPr>
          <w:rFonts w:hint="eastAsia"/>
          <w:sz w:val="24"/>
        </w:rPr>
        <w:t>）</w:t>
      </w:r>
      <w:r>
        <w:rPr>
          <w:sz w:val="24"/>
        </w:rPr>
        <w:t>，分别为对照组</w:t>
      </w:r>
      <w:r>
        <w:rPr>
          <w:rFonts w:hint="eastAsia"/>
          <w:sz w:val="24"/>
        </w:rPr>
        <w:t>（</w:t>
      </w:r>
      <w:r>
        <w:rPr>
          <w:sz w:val="24"/>
        </w:rPr>
        <w:t>脂肪含量为 10.51%，Con</w:t>
      </w:r>
      <w:r>
        <w:rPr>
          <w:rFonts w:hint="eastAsia"/>
          <w:sz w:val="24"/>
        </w:rPr>
        <w:t>）</w:t>
      </w:r>
      <w:r>
        <w:rPr>
          <w:sz w:val="24"/>
        </w:rPr>
        <w:t>、高脂饲料组</w:t>
      </w:r>
      <w:r>
        <w:rPr>
          <w:rFonts w:hint="eastAsia"/>
          <w:sz w:val="24"/>
        </w:rPr>
        <w:t>（</w:t>
      </w:r>
      <w:r>
        <w:rPr>
          <w:sz w:val="24"/>
        </w:rPr>
        <w:t>脂肪含量为18.60%，HFD</w:t>
      </w:r>
      <w:r>
        <w:rPr>
          <w:rFonts w:hint="eastAsia"/>
          <w:sz w:val="24"/>
        </w:rPr>
        <w:t>）</w:t>
      </w:r>
      <w:r>
        <w:rPr>
          <w:sz w:val="24"/>
        </w:rPr>
        <w:t>、0.125%含量的柚皮组</w:t>
      </w:r>
      <w:r>
        <w:rPr>
          <w:rFonts w:hint="eastAsia"/>
          <w:sz w:val="24"/>
        </w:rPr>
        <w:t>（</w:t>
      </w:r>
      <w:r>
        <w:rPr>
          <w:sz w:val="24"/>
        </w:rPr>
        <w:t>脂肪含量为 10.42%+0. 125% Nar， Con+Nar1.25</w:t>
      </w:r>
      <w:r>
        <w:rPr>
          <w:rFonts w:hint="eastAsia"/>
          <w:sz w:val="24"/>
        </w:rPr>
        <w:t>）</w:t>
      </w:r>
      <w:r>
        <w:rPr>
          <w:sz w:val="24"/>
        </w:rPr>
        <w:t>、0.25%含量的柚皮苷组</w:t>
      </w:r>
      <w:r>
        <w:rPr>
          <w:rFonts w:hint="eastAsia"/>
          <w:sz w:val="24"/>
        </w:rPr>
        <w:t>（</w:t>
      </w:r>
      <w:r>
        <w:rPr>
          <w:sz w:val="24"/>
        </w:rPr>
        <w:t>脂肪含量为 10.71%+0.25% Nar ，Con+Nar2.5</w:t>
      </w:r>
      <w:r>
        <w:rPr>
          <w:rFonts w:hint="eastAsia"/>
          <w:sz w:val="24"/>
        </w:rPr>
        <w:t>）</w:t>
      </w:r>
      <w:r>
        <w:rPr>
          <w:sz w:val="24"/>
        </w:rPr>
        <w:t>、高脂+0.125%柚皮苷组</w:t>
      </w:r>
      <w:r>
        <w:rPr>
          <w:rFonts w:hint="eastAsia"/>
          <w:sz w:val="24"/>
        </w:rPr>
        <w:t>（</w:t>
      </w:r>
      <w:r>
        <w:rPr>
          <w:sz w:val="24"/>
        </w:rPr>
        <w:t>饲料中脂肪含量为18.81% + 0. 125% Nar，HFD+ Nar1.25</w:t>
      </w:r>
      <w:r>
        <w:rPr>
          <w:rFonts w:hint="eastAsia"/>
          <w:sz w:val="24"/>
        </w:rPr>
        <w:t>）</w:t>
      </w:r>
      <w:r>
        <w:rPr>
          <w:sz w:val="24"/>
        </w:rPr>
        <w:t xml:space="preserve">、高脂+0.25%柚皮苷组 </w:t>
      </w:r>
      <w:r>
        <w:rPr>
          <w:rFonts w:hint="eastAsia"/>
          <w:sz w:val="24"/>
        </w:rPr>
        <w:t>（</w:t>
      </w:r>
      <w:r>
        <w:rPr>
          <w:sz w:val="24"/>
        </w:rPr>
        <w:t>脂肪含量为18.45% +0.25% Nar，HFD+Nar2.5</w:t>
      </w:r>
      <w:r>
        <w:rPr>
          <w:rFonts w:hint="eastAsia"/>
          <w:sz w:val="24"/>
        </w:rPr>
        <w:t>）</w:t>
      </w:r>
      <w:r>
        <w:rPr>
          <w:sz w:val="24"/>
        </w:rPr>
        <w:t>。柚皮苷由西格玛-奥德里奇公司</w:t>
      </w:r>
      <w:r>
        <w:rPr>
          <w:rFonts w:hint="eastAsia"/>
          <w:sz w:val="24"/>
        </w:rPr>
        <w:t>（</w:t>
      </w:r>
      <w:r>
        <w:rPr>
          <w:sz w:val="24"/>
        </w:rPr>
        <w:t>上海</w:t>
      </w:r>
      <w:r>
        <w:rPr>
          <w:rFonts w:hint="eastAsia"/>
          <w:sz w:val="24"/>
        </w:rPr>
        <w:t>）</w:t>
      </w:r>
      <w:r>
        <w:rPr>
          <w:sz w:val="24"/>
        </w:rPr>
        <w:t>提供。</w:t>
      </w:r>
    </w:p>
    <w:p w14:paraId="348084E9">
      <w:pPr>
        <w:spacing w:line="360" w:lineRule="auto"/>
        <w:ind w:firstLine="480" w:firstLineChars="200"/>
        <w:rPr>
          <w:sz w:val="24"/>
        </w:rPr>
      </w:pPr>
      <w:r>
        <w:rPr>
          <w:sz w:val="24"/>
        </w:rPr>
        <w:t>实验用大口黑鲈幼苗均采集自武汉市的渔场，大口黑鲈的养殖和日常管理遵循本实验章程</w:t>
      </w:r>
      <w:r>
        <w:rPr>
          <w:sz w:val="24"/>
          <w:vertAlign w:val="superscript"/>
        </w:rPr>
        <w:t>[</w:t>
      </w:r>
      <w:r>
        <w:fldChar w:fldCharType="begin"/>
      </w:r>
      <w:r>
        <w:instrText xml:space="preserve"> HYPERLINK \l "bookmark16" </w:instrText>
      </w:r>
      <w:r>
        <w:fldChar w:fldCharType="separate"/>
      </w:r>
      <w:r>
        <w:rPr>
          <w:sz w:val="24"/>
          <w:vertAlign w:val="superscript"/>
        </w:rPr>
        <w:t>13</w:t>
      </w:r>
      <w:r>
        <w:rPr>
          <w:sz w:val="24"/>
          <w:vertAlign w:val="superscript"/>
        </w:rPr>
        <w:fldChar w:fldCharType="end"/>
      </w:r>
      <w:r>
        <w:rPr>
          <w:sz w:val="24"/>
          <w:vertAlign w:val="superscript"/>
        </w:rPr>
        <w:t>]</w:t>
      </w:r>
      <w:r>
        <w:rPr>
          <w:sz w:val="24"/>
        </w:rPr>
        <w:t>。先在室内水箱中驯化2周，选取450尾个体大小均匀[</w:t>
      </w:r>
      <w:r>
        <w:rPr>
          <w:rFonts w:hint="eastAsia"/>
          <w:sz w:val="24"/>
        </w:rPr>
        <w:t>（</w:t>
      </w:r>
      <w:r>
        <w:rPr>
          <w:sz w:val="24"/>
        </w:rPr>
        <w:t>6.94±0.01</w:t>
      </w:r>
      <w:r>
        <w:rPr>
          <w:rFonts w:hint="eastAsia"/>
          <w:sz w:val="24"/>
        </w:rPr>
        <w:t>）</w:t>
      </w:r>
      <w:r>
        <w:rPr>
          <w:sz w:val="24"/>
        </w:rPr>
        <w:t>g]的健康大口黑鲈幼鱼，平均分配到18个缸中，每缸25尾。每天8:00和16:00分别进行投喂。每次喂食前用虹吸管吸弃粪便。在饲养过程中</w:t>
      </w:r>
      <w:r>
        <w:rPr>
          <w:rFonts w:hint="eastAsia"/>
          <w:sz w:val="24"/>
        </w:rPr>
        <w:t>，各项</w:t>
      </w:r>
      <w:r>
        <w:rPr>
          <w:sz w:val="24"/>
        </w:rPr>
        <w:t>水质参数控制为</w:t>
      </w:r>
      <w:r>
        <w:rPr>
          <w:rFonts w:hint="eastAsia"/>
          <w:sz w:val="24"/>
        </w:rPr>
        <w:t>：水温（</w:t>
      </w:r>
      <w:r>
        <w:rPr>
          <w:sz w:val="24"/>
        </w:rPr>
        <w:t>28.0±1.5</w:t>
      </w:r>
      <w:r>
        <w:rPr>
          <w:rFonts w:hint="eastAsia"/>
          <w:sz w:val="24"/>
        </w:rPr>
        <w:t>）</w:t>
      </w:r>
      <w:r>
        <w:rPr>
          <w:sz w:val="24"/>
        </w:rPr>
        <w:t>℃</w:t>
      </w:r>
      <w:r>
        <w:rPr>
          <w:rFonts w:hint="eastAsia"/>
          <w:sz w:val="24"/>
        </w:rPr>
        <w:t>，</w:t>
      </w:r>
      <w:r>
        <w:rPr>
          <w:sz w:val="24"/>
        </w:rPr>
        <w:t>溶解 氧</w:t>
      </w:r>
      <w:r>
        <w:rPr>
          <w:rFonts w:hint="eastAsia"/>
          <w:sz w:val="24"/>
        </w:rPr>
        <w:t>（</w:t>
      </w:r>
      <w:r>
        <w:rPr>
          <w:sz w:val="24"/>
        </w:rPr>
        <w:t>6.35±0.06</w:t>
      </w:r>
      <w:r>
        <w:rPr>
          <w:rFonts w:hint="eastAsia"/>
          <w:sz w:val="24"/>
        </w:rPr>
        <w:t>）</w:t>
      </w:r>
      <w:r>
        <w:rPr>
          <w:sz w:val="24"/>
        </w:rPr>
        <w:t>mg/L，pH 7.88±0.09，</w:t>
      </w:r>
      <w:r>
        <w:rPr>
          <w:rFonts w:hint="eastAsia"/>
          <w:sz w:val="24"/>
        </w:rPr>
        <w:t>氨氮（</w:t>
      </w:r>
      <w:r>
        <w:rPr>
          <w:sz w:val="24"/>
        </w:rPr>
        <w:t>0.07±0.01</w:t>
      </w:r>
      <w:r>
        <w:rPr>
          <w:rFonts w:hint="eastAsia"/>
          <w:sz w:val="24"/>
        </w:rPr>
        <w:t>）</w:t>
      </w:r>
      <w:r>
        <w:rPr>
          <w:sz w:val="24"/>
        </w:rPr>
        <w:t>mg/L，</w:t>
      </w:r>
      <w:r>
        <w:rPr>
          <w:rFonts w:hint="eastAsia"/>
          <w:sz w:val="24"/>
        </w:rPr>
        <w:t>亚硝酸盐</w:t>
      </w:r>
      <w:r>
        <w:rPr>
          <w:sz w:val="24"/>
        </w:rPr>
        <w:t>不</w:t>
      </w:r>
      <w:r>
        <w:rPr>
          <w:rFonts w:hint="eastAsia"/>
          <w:sz w:val="24"/>
        </w:rPr>
        <w:t>高于</w:t>
      </w:r>
      <w:r>
        <w:rPr>
          <w:sz w:val="24"/>
        </w:rPr>
        <w:t>0.03 mg/L。养殖实验持续10周。在养殖实验结束时，用MS- 222溶液</w:t>
      </w:r>
      <w:r>
        <w:rPr>
          <w:rFonts w:hint="eastAsia"/>
          <w:sz w:val="24"/>
        </w:rPr>
        <w:t>（</w:t>
      </w:r>
      <w:r>
        <w:rPr>
          <w:sz w:val="24"/>
        </w:rPr>
        <w:t>100 mg/L，Millipore Sigma，美国</w:t>
      </w:r>
      <w:r>
        <w:rPr>
          <w:rFonts w:hint="eastAsia"/>
          <w:sz w:val="24"/>
        </w:rPr>
        <w:t>）</w:t>
      </w:r>
      <w:r>
        <w:rPr>
          <w:sz w:val="24"/>
        </w:rPr>
        <w:t>对大口黑鲈进行麻醉。计数和称重后，从每个鱼缸中取 3 尾鱼，取肝脏组织进行荧光定量PCR</w:t>
      </w:r>
      <w:r>
        <w:rPr>
          <w:rFonts w:hint="eastAsia"/>
          <w:sz w:val="24"/>
        </w:rPr>
        <w:t>（</w:t>
      </w:r>
      <w:r>
        <w:rPr>
          <w:sz w:val="24"/>
        </w:rPr>
        <w:t>qPCR</w:t>
      </w:r>
      <w:r>
        <w:rPr>
          <w:rFonts w:hint="eastAsia"/>
          <w:sz w:val="24"/>
        </w:rPr>
        <w:t>）</w:t>
      </w:r>
      <w:r>
        <w:rPr>
          <w:sz w:val="24"/>
        </w:rPr>
        <w:t>分析。组织学分析：每个水缸取3尾鱼，无菌条件下解剖取肝脏组织于甲醛溶液中固定。取另外3尾鱼肝脏组织保存于专用RNA冻存管中，并置于液氮中保存。从每个鱼缸中选择6尾鱼并取肝脏组织，在液氮中快速冷冻并在−80℃冰箱中保存以供后续酶活性测定和免疫印迹</w:t>
      </w:r>
      <w:r>
        <w:rPr>
          <w:rFonts w:hint="eastAsia"/>
          <w:sz w:val="24"/>
        </w:rPr>
        <w:t>（</w:t>
      </w:r>
      <w:r>
        <w:rPr>
          <w:sz w:val="24"/>
        </w:rPr>
        <w:t>Western blot</w:t>
      </w:r>
      <w:r>
        <w:rPr>
          <w:rFonts w:hint="eastAsia"/>
          <w:sz w:val="24"/>
        </w:rPr>
        <w:t>）</w:t>
      </w:r>
      <w:r>
        <w:rPr>
          <w:sz w:val="24"/>
        </w:rPr>
        <w:t>检测。本实验经华中农业大学实验动物伦理委员会批准，并根据相关指南进行。</w:t>
      </w:r>
    </w:p>
    <w:p w14:paraId="4177B855">
      <w:pPr>
        <w:spacing w:line="360" w:lineRule="auto"/>
        <w:rPr>
          <w:sz w:val="24"/>
        </w:rPr>
      </w:pPr>
      <w:r>
        <w:drawing>
          <wp:inline distT="0" distB="0" distL="114300" distR="114300">
            <wp:extent cx="5976620" cy="4765675"/>
            <wp:effectExtent l="0" t="0" r="5080" b="9525"/>
            <wp:docPr id="7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4"/>
                    <pic:cNvPicPr>
                      <a:picLocks noChangeAspect="1"/>
                    </pic:cNvPicPr>
                  </pic:nvPicPr>
                  <pic:blipFill>
                    <a:blip r:embed="rId8"/>
                    <a:stretch>
                      <a:fillRect/>
                    </a:stretch>
                  </pic:blipFill>
                  <pic:spPr>
                    <a:xfrm>
                      <a:off x="0" y="0"/>
                      <a:ext cx="5976620" cy="4765675"/>
                    </a:xfrm>
                    <a:prstGeom prst="rect">
                      <a:avLst/>
                    </a:prstGeom>
                    <a:noFill/>
                    <a:ln>
                      <a:noFill/>
                    </a:ln>
                  </pic:spPr>
                </pic:pic>
              </a:graphicData>
            </a:graphic>
          </wp:inline>
        </w:drawing>
      </w:r>
    </w:p>
    <w:p w14:paraId="28E77EFB">
      <w:pPr>
        <w:spacing w:line="360" w:lineRule="auto"/>
        <w:rPr>
          <w:sz w:val="24"/>
        </w:rPr>
      </w:pPr>
      <w:r>
        <w:rPr>
          <w:sz w:val="24"/>
        </w:rPr>
        <w:t>1.2  样品分析</w:t>
      </w:r>
    </w:p>
    <w:p w14:paraId="53FF1E73">
      <w:pPr>
        <w:spacing w:line="360" w:lineRule="auto"/>
        <w:ind w:firstLine="480" w:firstLineChars="200"/>
        <w:rPr>
          <w:sz w:val="24"/>
        </w:rPr>
      </w:pPr>
      <w:r>
        <w:rPr>
          <w:sz w:val="24"/>
        </w:rPr>
        <w:t>基因表达分析  采用 TRIzol 法提取肝脏总RNA</w:t>
      </w:r>
      <w:r>
        <w:rPr>
          <w:rFonts w:hint="eastAsia"/>
          <w:sz w:val="24"/>
        </w:rPr>
        <w:t>（</w:t>
      </w:r>
      <w:r>
        <w:rPr>
          <w:sz w:val="24"/>
        </w:rPr>
        <w:t>Invitrogen，美国</w:t>
      </w:r>
      <w:r>
        <w:rPr>
          <w:rFonts w:hint="eastAsia"/>
          <w:sz w:val="24"/>
        </w:rPr>
        <w:t>）</w:t>
      </w:r>
      <w:r>
        <w:rPr>
          <w:sz w:val="24"/>
        </w:rPr>
        <w:t>，使用碧云天生物科技有限公司BeyoRTTM Ⅲ cDNA第一链合成试剂盒合成第一链cDNA。采用MyiQ双色实时荧光定量PCR</w:t>
      </w:r>
      <w:r>
        <w:rPr>
          <w:rFonts w:hint="eastAsia"/>
          <w:sz w:val="24"/>
        </w:rPr>
        <w:t>（</w:t>
      </w:r>
      <w:r>
        <w:rPr>
          <w:sz w:val="24"/>
        </w:rPr>
        <w:t>BIORAD，美国</w:t>
      </w:r>
      <w:r>
        <w:rPr>
          <w:rFonts w:hint="eastAsia"/>
          <w:sz w:val="24"/>
        </w:rPr>
        <w:t>）</w:t>
      </w:r>
      <w:r>
        <w:rPr>
          <w:sz w:val="24"/>
        </w:rPr>
        <w:t>进行基因 mRNA 表达水平分析，引物序列见</w:t>
      </w:r>
      <w:r>
        <w:rPr>
          <w:sz w:val="24"/>
        </w:rPr>
        <w:fldChar w:fldCharType="begin"/>
      </w:r>
      <w:r>
        <w:rPr>
          <w:sz w:val="24"/>
        </w:rPr>
        <w:instrText xml:space="preserve"> HYPERLINK \l "bookmark17" </w:instrText>
      </w:r>
      <w:r>
        <w:rPr>
          <w:sz w:val="24"/>
        </w:rPr>
        <w:fldChar w:fldCharType="separate"/>
      </w:r>
      <w:r>
        <w:rPr>
          <w:sz w:val="24"/>
        </w:rPr>
        <w:t>表 2</w:t>
      </w:r>
      <w:r>
        <w:rPr>
          <w:sz w:val="24"/>
        </w:rPr>
        <w:fldChar w:fldCharType="end"/>
      </w:r>
      <w:r>
        <w:rPr>
          <w:sz w:val="24"/>
        </w:rPr>
        <w:t>。经geNorm分析选用最稳定 2 个管家基因作为双内参</w:t>
      </w:r>
      <w:r>
        <w:rPr>
          <w:rFonts w:hint="eastAsia"/>
          <w:sz w:val="24"/>
        </w:rPr>
        <w:t>（</w:t>
      </w:r>
      <w:r>
        <w:rPr>
          <w:i/>
          <w:iCs/>
          <w:sz w:val="24"/>
        </w:rPr>
        <w:t>β-actin</w:t>
      </w:r>
      <w:r>
        <w:rPr>
          <w:sz w:val="24"/>
        </w:rPr>
        <w:t>和</w:t>
      </w:r>
      <w:r>
        <w:rPr>
          <w:i/>
          <w:iCs/>
          <w:sz w:val="24"/>
        </w:rPr>
        <w:t>elfa</w:t>
      </w:r>
      <w:r>
        <w:rPr>
          <w:rFonts w:hint="eastAsia"/>
          <w:sz w:val="24"/>
        </w:rPr>
        <w:t>）</w:t>
      </w:r>
      <w:r>
        <w:rPr>
          <w:sz w:val="24"/>
        </w:rPr>
        <w:t>，并应用2</w:t>
      </w:r>
      <w:r>
        <w:rPr>
          <w:rFonts w:hint="eastAsia"/>
          <w:sz w:val="24"/>
          <w:vertAlign w:val="superscript"/>
        </w:rPr>
        <w:t>-</w:t>
      </w:r>
      <w:r>
        <w:rPr>
          <w:sz w:val="24"/>
          <w:vertAlign w:val="superscript"/>
        </w:rPr>
        <w:t>ΔΔCt</w:t>
      </w:r>
      <w:r>
        <w:rPr>
          <w:sz w:val="24"/>
        </w:rPr>
        <w:t>方法计算基因的相对mRNA表达。</w:t>
      </w:r>
    </w:p>
    <w:p w14:paraId="7D40159D">
      <w:pPr>
        <w:spacing w:line="360" w:lineRule="auto"/>
      </w:pPr>
      <w:r>
        <w:drawing>
          <wp:inline distT="0" distB="0" distL="114300" distR="114300">
            <wp:extent cx="5969000" cy="3815715"/>
            <wp:effectExtent l="0" t="0" r="0" b="6985"/>
            <wp:docPr id="7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5"/>
                    <pic:cNvPicPr>
                      <a:picLocks noChangeAspect="1"/>
                    </pic:cNvPicPr>
                  </pic:nvPicPr>
                  <pic:blipFill>
                    <a:blip r:embed="rId9"/>
                    <a:stretch>
                      <a:fillRect/>
                    </a:stretch>
                  </pic:blipFill>
                  <pic:spPr>
                    <a:xfrm>
                      <a:off x="0" y="0"/>
                      <a:ext cx="5969000" cy="3815715"/>
                    </a:xfrm>
                    <a:prstGeom prst="rect">
                      <a:avLst/>
                    </a:prstGeom>
                    <a:noFill/>
                    <a:ln>
                      <a:noFill/>
                    </a:ln>
                  </pic:spPr>
                </pic:pic>
              </a:graphicData>
            </a:graphic>
          </wp:inline>
        </w:drawing>
      </w:r>
    </w:p>
    <w:p w14:paraId="1E8A2132">
      <w:pPr>
        <w:spacing w:line="360" w:lineRule="auto"/>
      </w:pPr>
      <w:r>
        <w:drawing>
          <wp:inline distT="0" distB="0" distL="114300" distR="114300">
            <wp:extent cx="5970905" cy="2152015"/>
            <wp:effectExtent l="0" t="0" r="10795" b="6985"/>
            <wp:docPr id="7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6"/>
                    <pic:cNvPicPr>
                      <a:picLocks noChangeAspect="1"/>
                    </pic:cNvPicPr>
                  </pic:nvPicPr>
                  <pic:blipFill>
                    <a:blip r:embed="rId10"/>
                    <a:stretch>
                      <a:fillRect/>
                    </a:stretch>
                  </pic:blipFill>
                  <pic:spPr>
                    <a:xfrm>
                      <a:off x="0" y="0"/>
                      <a:ext cx="5970905" cy="2152015"/>
                    </a:xfrm>
                    <a:prstGeom prst="rect">
                      <a:avLst/>
                    </a:prstGeom>
                    <a:noFill/>
                    <a:ln>
                      <a:noFill/>
                    </a:ln>
                  </pic:spPr>
                </pic:pic>
              </a:graphicData>
            </a:graphic>
          </wp:inline>
        </w:drawing>
      </w:r>
    </w:p>
    <w:p w14:paraId="34284A11">
      <w:pPr>
        <w:spacing w:line="360" w:lineRule="auto"/>
        <w:ind w:firstLine="480" w:firstLineChars="200"/>
        <w:rPr>
          <w:sz w:val="24"/>
        </w:rPr>
      </w:pPr>
      <w:r>
        <w:rPr>
          <w:sz w:val="24"/>
        </w:rPr>
        <w:t>肝脏苏木精-伊红</w:t>
      </w:r>
      <w:r>
        <w:rPr>
          <w:rFonts w:hint="eastAsia"/>
          <w:sz w:val="24"/>
        </w:rPr>
        <w:t>（</w:t>
      </w:r>
      <w:r>
        <w:rPr>
          <w:sz w:val="24"/>
        </w:rPr>
        <w:t>H.E</w:t>
      </w:r>
      <w:r>
        <w:rPr>
          <w:rFonts w:hint="eastAsia"/>
          <w:sz w:val="24"/>
        </w:rPr>
        <w:t>）</w:t>
      </w:r>
      <w:r>
        <w:rPr>
          <w:sz w:val="24"/>
        </w:rPr>
        <w:t>染色与分析  新鲜肝脏组织置于4%甲醛溶液固定后，由武汉四维加</w:t>
      </w:r>
      <w:r>
        <w:rPr>
          <w:rFonts w:hint="eastAsia"/>
          <w:sz w:val="24"/>
        </w:rPr>
        <w:t>生物科技股份有限公司进行</w:t>
      </w:r>
      <w:r>
        <w:rPr>
          <w:sz w:val="24"/>
        </w:rPr>
        <w:t>H.</w:t>
      </w:r>
      <w:r>
        <w:rPr>
          <w:rFonts w:hint="eastAsia"/>
          <w:sz w:val="24"/>
        </w:rPr>
        <w:t>E</w:t>
      </w:r>
      <w:r>
        <w:rPr>
          <w:sz w:val="24"/>
        </w:rPr>
        <w:t>色，</w:t>
      </w:r>
      <w:r>
        <w:rPr>
          <w:rFonts w:hint="eastAsia"/>
          <w:sz w:val="24"/>
        </w:rPr>
        <w:t>使用Olympus</w:t>
      </w:r>
      <w:r>
        <w:rPr>
          <w:sz w:val="24"/>
        </w:rPr>
        <w:t>显微镜</w:t>
      </w:r>
      <w:r>
        <w:rPr>
          <w:rFonts w:hint="eastAsia"/>
          <w:sz w:val="24"/>
        </w:rPr>
        <w:t>（</w:t>
      </w:r>
      <w:r>
        <w:rPr>
          <w:sz w:val="24"/>
        </w:rPr>
        <w:t>Olympus，日本</w:t>
      </w:r>
      <w:r>
        <w:rPr>
          <w:rFonts w:hint="eastAsia"/>
          <w:sz w:val="24"/>
        </w:rPr>
        <w:t>）</w:t>
      </w:r>
      <w:r>
        <w:rPr>
          <w:sz w:val="24"/>
        </w:rPr>
        <w:t>观察拍照，使用Image J分析肝脏空泡化面积。</w:t>
      </w:r>
    </w:p>
    <w:p w14:paraId="08AE2BEC">
      <w:pPr>
        <w:spacing w:line="360" w:lineRule="auto"/>
        <w:ind w:firstLine="480" w:firstLineChars="200"/>
        <w:rPr>
          <w:sz w:val="24"/>
        </w:rPr>
      </w:pPr>
      <w:r>
        <w:rPr>
          <w:sz w:val="24"/>
        </w:rPr>
        <w:t>TG含量和酶活性分析  采用南京建成生物工程研究所的商品化试剂盒测定肝脏TG含量、血清AST和ALT酶活性</w:t>
      </w:r>
      <w:r>
        <w:rPr>
          <w:rFonts w:hint="eastAsia"/>
          <w:sz w:val="24"/>
        </w:rPr>
        <w:t>（</w:t>
      </w:r>
      <w:r>
        <w:rPr>
          <w:sz w:val="24"/>
        </w:rPr>
        <w:t>F001-1-1、C010-2-1和C009-2-1</w:t>
      </w:r>
      <w:r>
        <w:rPr>
          <w:rFonts w:hint="eastAsia"/>
          <w:sz w:val="24"/>
        </w:rPr>
        <w:t>）</w:t>
      </w:r>
      <w:r>
        <w:rPr>
          <w:sz w:val="24"/>
        </w:rPr>
        <w:t>。以牛血清白蛋白为标准品，由南京建成生物工程研究所的BCA法蛋白检测试剂盒</w:t>
      </w:r>
      <w:r>
        <w:rPr>
          <w:rFonts w:hint="eastAsia"/>
          <w:sz w:val="24"/>
        </w:rPr>
        <w:t>（</w:t>
      </w:r>
      <w:r>
        <w:rPr>
          <w:sz w:val="24"/>
        </w:rPr>
        <w:t>A045-4-2</w:t>
      </w:r>
      <w:r>
        <w:rPr>
          <w:rFonts w:hint="eastAsia"/>
          <w:sz w:val="24"/>
        </w:rPr>
        <w:t>）</w:t>
      </w:r>
      <w:r>
        <w:rPr>
          <w:sz w:val="24"/>
        </w:rPr>
        <w:t>测定肝脏中的可溶性蛋白浓度。将肝脏样本在4%多聚甲醛中固定，经蔗糖脱水，然后使用冰冻切片机切片，通过油红O染色，然后在显微镜下拍照。使用Image J软件对油红O染色切片中的脂滴相对面积进行定量分析。</w:t>
      </w:r>
    </w:p>
    <w:p w14:paraId="1CD7A3A0">
      <w:pPr>
        <w:spacing w:line="360" w:lineRule="auto"/>
        <w:ind w:firstLine="480" w:firstLineChars="200"/>
        <w:rPr>
          <w:sz w:val="24"/>
        </w:rPr>
      </w:pPr>
      <w:r>
        <w:rPr>
          <w:sz w:val="24"/>
        </w:rPr>
        <w:t>Western blot分析  用RIPA缓冲液</w:t>
      </w:r>
      <w:r>
        <w:rPr>
          <w:rFonts w:hint="eastAsia"/>
          <w:sz w:val="24"/>
        </w:rPr>
        <w:t>（</w:t>
      </w:r>
      <w:r>
        <w:rPr>
          <w:sz w:val="24"/>
        </w:rPr>
        <w:t>Invitrogen，美国</w:t>
      </w:r>
      <w:r>
        <w:rPr>
          <w:rFonts w:hint="eastAsia"/>
          <w:sz w:val="24"/>
        </w:rPr>
        <w:t>）</w:t>
      </w:r>
      <w:r>
        <w:rPr>
          <w:sz w:val="24"/>
        </w:rPr>
        <w:t>制备细胞裂解液。沸水浴加热使蛋白充分变性，冷却到室温后，把适量蛋白样品直接上样到聚丙烯酰胺凝胶电泳</w:t>
      </w:r>
      <w:r>
        <w:rPr>
          <w:rFonts w:hint="eastAsia"/>
          <w:sz w:val="24"/>
        </w:rPr>
        <w:t>（</w:t>
      </w:r>
      <w:r>
        <w:rPr>
          <w:sz w:val="24"/>
        </w:rPr>
        <w:t>SDS-PAGE</w:t>
      </w:r>
      <w:r>
        <w:rPr>
          <w:rFonts w:hint="eastAsia"/>
          <w:sz w:val="24"/>
        </w:rPr>
        <w:t>）</w:t>
      </w:r>
      <w:r>
        <w:rPr>
          <w:sz w:val="24"/>
        </w:rPr>
        <w:t>加样孔内</w:t>
      </w:r>
      <w:r>
        <w:rPr>
          <w:rFonts w:hint="eastAsia"/>
          <w:sz w:val="24"/>
        </w:rPr>
        <w:t>，</w:t>
      </w:r>
      <w:r>
        <w:rPr>
          <w:sz w:val="24"/>
        </w:rPr>
        <w:t>100V电泳12h。本实验选用PVDF膜，250mA转膜120min。转膜完毕后立即将蛋白膜置于预先准备好的洗涤液中漂洗2min以洗去转膜液。吸尽洗涤液，加入8%脱脂牛奶封闭，在摇床上摇孵育2h。吸尽封闭液，按适量比例稀释一抗，4℃在摇床上缓慢摇动过夜。其中一抗抗体为GRP78</w:t>
      </w:r>
      <w:r>
        <w:rPr>
          <w:rFonts w:hint="eastAsia"/>
          <w:sz w:val="24"/>
        </w:rPr>
        <w:t>（</w:t>
      </w:r>
      <w:r>
        <w:rPr>
          <w:sz w:val="24"/>
        </w:rPr>
        <w:t>Proteintech，27458-1-AP</w:t>
      </w:r>
      <w:r>
        <w:rPr>
          <w:rFonts w:hint="eastAsia"/>
          <w:sz w:val="24"/>
        </w:rPr>
        <w:t>）</w:t>
      </w:r>
      <w:r>
        <w:rPr>
          <w:sz w:val="24"/>
        </w:rPr>
        <w:t>、PPARα</w:t>
      </w:r>
      <w:r>
        <w:rPr>
          <w:rFonts w:hint="eastAsia"/>
          <w:sz w:val="24"/>
        </w:rPr>
        <w:t>（</w:t>
      </w:r>
      <w:r>
        <w:rPr>
          <w:sz w:val="24"/>
        </w:rPr>
        <w:t>Abclonal，A25296</w:t>
      </w:r>
      <w:r>
        <w:rPr>
          <w:rFonts w:hint="eastAsia"/>
          <w:sz w:val="24"/>
        </w:rPr>
        <w:t>）</w:t>
      </w:r>
      <w:r>
        <w:rPr>
          <w:sz w:val="24"/>
        </w:rPr>
        <w:t>、β-actin</w:t>
      </w:r>
      <w:r>
        <w:rPr>
          <w:rFonts w:hint="eastAsia"/>
          <w:sz w:val="24"/>
        </w:rPr>
        <w:t>（</w:t>
      </w:r>
      <w:r>
        <w:rPr>
          <w:sz w:val="24"/>
        </w:rPr>
        <w:t>Proteintech，20536-1-AP</w:t>
      </w:r>
      <w:r>
        <w:rPr>
          <w:rFonts w:hint="eastAsia"/>
          <w:sz w:val="24"/>
        </w:rPr>
        <w:t>）</w:t>
      </w:r>
      <w:r>
        <w:rPr>
          <w:sz w:val="24"/>
        </w:rPr>
        <w:t>。吸尽洗涤液后立即加入稀释好的二抗</w:t>
      </w:r>
      <w:r>
        <w:rPr>
          <w:rFonts w:hint="eastAsia"/>
          <w:sz w:val="24"/>
        </w:rPr>
        <w:t>（</w:t>
      </w:r>
      <w:r>
        <w:rPr>
          <w:sz w:val="24"/>
        </w:rPr>
        <w:t>Abcam，ab150079</w:t>
      </w:r>
      <w:r>
        <w:rPr>
          <w:rFonts w:hint="eastAsia"/>
          <w:sz w:val="24"/>
        </w:rPr>
        <w:t>）</w:t>
      </w:r>
      <w:r>
        <w:rPr>
          <w:sz w:val="24"/>
        </w:rPr>
        <w:t>，在室温条件下摇床中缓慢摇动1h。利用Vilber Fusion FX6光谱成像系统</w:t>
      </w:r>
      <w:r>
        <w:rPr>
          <w:rFonts w:hint="eastAsia"/>
          <w:sz w:val="24"/>
        </w:rPr>
        <w:t>（</w:t>
      </w:r>
      <w:r>
        <w:rPr>
          <w:sz w:val="24"/>
        </w:rPr>
        <w:t xml:space="preserve">Vilber </w:t>
      </w:r>
      <w:r>
        <w:rPr>
          <w:rFonts w:hint="eastAsia"/>
          <w:sz w:val="24"/>
        </w:rPr>
        <w:t>Lourmat）</w:t>
      </w:r>
      <w:r>
        <w:rPr>
          <w:sz w:val="24"/>
        </w:rPr>
        <w:t>对蛋白条带进行可视化，使用ECL化学发光检测试剂盒进行显影，并利用Image-Pro Plus 6.0对其进行定量。</w:t>
      </w:r>
    </w:p>
    <w:p w14:paraId="17ACEF05">
      <w:pPr>
        <w:spacing w:line="360" w:lineRule="auto"/>
        <w:ind w:firstLine="480" w:firstLineChars="200"/>
        <w:rPr>
          <w:sz w:val="24"/>
        </w:rPr>
      </w:pPr>
      <w:r>
        <w:rPr>
          <w:sz w:val="24"/>
        </w:rPr>
        <w:t>电镜分析  2.5%戊二醛固定液滴在蜡板上，将切成小块的肝脏组织放在蜡板上的固定液中，用双刀片采用拉锯法在固定液中将组织切成约1</w:t>
      </w:r>
      <w:r>
        <w:rPr>
          <w:rFonts w:hint="eastAsia"/>
          <w:sz w:val="24"/>
        </w:rPr>
        <w:t>mm³</w:t>
      </w:r>
      <w:r>
        <w:rPr>
          <w:sz w:val="24"/>
        </w:rPr>
        <w:t>小块或横切面约1</w:t>
      </w:r>
      <w:r>
        <w:rPr>
          <w:rFonts w:hint="eastAsia"/>
          <w:sz w:val="24"/>
        </w:rPr>
        <w:t>mm²</w:t>
      </w:r>
      <w:r>
        <w:rPr>
          <w:sz w:val="24"/>
        </w:rPr>
        <w:t>的长条形</w:t>
      </w:r>
      <w:r>
        <w:rPr>
          <w:rFonts w:hint="eastAsia"/>
          <w:sz w:val="24"/>
        </w:rPr>
        <w:t>，并</w:t>
      </w:r>
      <w:r>
        <w:rPr>
          <w:sz w:val="24"/>
        </w:rPr>
        <w:t>做好标记。组织样用2.5%戊二醛固定2h</w:t>
      </w:r>
      <w:r>
        <w:rPr>
          <w:rFonts w:hint="eastAsia"/>
          <w:sz w:val="24"/>
        </w:rPr>
        <w:t>或</w:t>
      </w:r>
      <w:r>
        <w:rPr>
          <w:sz w:val="24"/>
        </w:rPr>
        <w:t>更长时间，</w:t>
      </w:r>
      <w:r>
        <w:rPr>
          <w:rFonts w:hint="eastAsia"/>
          <w:sz w:val="24"/>
        </w:rPr>
        <w:t>用</w:t>
      </w:r>
      <w:r>
        <w:rPr>
          <w:sz w:val="24"/>
        </w:rPr>
        <w:t>0.1mol/L磷酸漂洗液漂洗3次</w:t>
      </w:r>
      <w:r>
        <w:rPr>
          <w:rFonts w:hint="eastAsia"/>
          <w:sz w:val="24"/>
        </w:rPr>
        <w:t>；用</w:t>
      </w:r>
      <w:r>
        <w:rPr>
          <w:sz w:val="24"/>
        </w:rPr>
        <w:t>1%锇酸固定液固定3h，再用0.1mol/L磷酸漂洗液漂洗3</w:t>
      </w:r>
      <w:r>
        <w:rPr>
          <w:rFonts w:hint="eastAsia"/>
          <w:sz w:val="24"/>
        </w:rPr>
        <w:t>次。</w:t>
      </w:r>
      <w:r>
        <w:rPr>
          <w:sz w:val="24"/>
        </w:rPr>
        <w:t>50%乙醇4℃作用20min，75%乙醇4℃作用20min，90%乙醇4℃作用20min</w:t>
      </w:r>
      <w:r>
        <w:rPr>
          <w:rFonts w:hint="eastAsia"/>
          <w:sz w:val="24"/>
        </w:rPr>
        <w:t>，90%乙醇和90%丙酮等比溶液</w:t>
      </w:r>
      <w:r>
        <w:rPr>
          <w:sz w:val="24"/>
        </w:rPr>
        <w:t>4℃作用20min</w:t>
      </w:r>
      <w:r>
        <w:rPr>
          <w:rFonts w:hint="eastAsia"/>
          <w:sz w:val="24"/>
        </w:rPr>
        <w:t>，90%丙酮</w:t>
      </w:r>
      <w:r>
        <w:rPr>
          <w:sz w:val="24"/>
        </w:rPr>
        <w:t>4℃作用20min</w:t>
      </w:r>
      <w:r>
        <w:rPr>
          <w:rFonts w:hint="eastAsia"/>
          <w:sz w:val="24"/>
        </w:rPr>
        <w:t>，100%丙酮室温作用3次，每次</w:t>
      </w:r>
      <w:r>
        <w:rPr>
          <w:sz w:val="24"/>
        </w:rPr>
        <w:t>20min</w:t>
      </w:r>
      <w:r>
        <w:rPr>
          <w:rFonts w:hint="eastAsia"/>
          <w:sz w:val="24"/>
        </w:rPr>
        <w:t>。</w:t>
      </w:r>
      <w:r>
        <w:rPr>
          <w:sz w:val="24"/>
        </w:rPr>
        <w:t>样品在体积比2∶1的纯丙酮和包埋液混合液中室温作用4min，在体积比1∶</w:t>
      </w:r>
      <w:r>
        <w:rPr>
          <w:rFonts w:hint="eastAsia"/>
          <w:sz w:val="24"/>
        </w:rPr>
        <w:t>2</w:t>
      </w:r>
      <w:r>
        <w:rPr>
          <w:sz w:val="24"/>
        </w:rPr>
        <w:t>的纯丙酮与包埋液混合液中过夜</w:t>
      </w:r>
      <w:r>
        <w:rPr>
          <w:rFonts w:hint="eastAsia"/>
          <w:sz w:val="24"/>
        </w:rPr>
        <w:t>。</w:t>
      </w:r>
      <w:r>
        <w:rPr>
          <w:sz w:val="24"/>
        </w:rPr>
        <w:t>37℃条件下</w:t>
      </w:r>
      <w:r>
        <w:rPr>
          <w:rFonts w:hint="eastAsia"/>
          <w:sz w:val="24"/>
        </w:rPr>
        <w:t>用纯</w:t>
      </w:r>
      <w:r>
        <w:rPr>
          <w:sz w:val="24"/>
        </w:rPr>
        <w:t>包埋液处理3h后</w:t>
      </w:r>
      <w:r>
        <w:rPr>
          <w:rFonts w:hint="eastAsia"/>
          <w:sz w:val="24"/>
        </w:rPr>
        <w:t>，于</w:t>
      </w:r>
      <w:r>
        <w:rPr>
          <w:sz w:val="24"/>
        </w:rPr>
        <w:t>37℃烘箱过夜，45℃烘箱12h，</w:t>
      </w:r>
      <w:r>
        <w:rPr>
          <w:rFonts w:hint="eastAsia"/>
          <w:sz w:val="24"/>
        </w:rPr>
        <w:t>60℃</w:t>
      </w:r>
      <w:r>
        <w:rPr>
          <w:sz w:val="24"/>
        </w:rPr>
        <w:t>烘箱24h</w:t>
      </w:r>
      <w:r>
        <w:rPr>
          <w:rFonts w:hint="eastAsia"/>
          <w:sz w:val="24"/>
        </w:rPr>
        <w:t>。</w:t>
      </w:r>
      <w:r>
        <w:rPr>
          <w:sz w:val="24"/>
        </w:rPr>
        <w:t>利用LKB-</w:t>
      </w:r>
      <w:r>
        <w:rPr>
          <w:rFonts w:hint="eastAsia"/>
          <w:sz w:val="24"/>
        </w:rPr>
        <w:t>Ⅰ</w:t>
      </w:r>
      <w:r>
        <w:rPr>
          <w:sz w:val="24"/>
        </w:rPr>
        <w:t>型超薄切片机切成厚度为50~60nm的薄片，经3%醋酸铀-枸橼酸铅双染色后</w:t>
      </w:r>
      <w:r>
        <w:rPr>
          <w:rFonts w:hint="eastAsia"/>
          <w:sz w:val="24"/>
        </w:rPr>
        <w:t>，使用</w:t>
      </w:r>
      <w:r>
        <w:rPr>
          <w:sz w:val="24"/>
        </w:rPr>
        <w:t>透射电镜观察</w:t>
      </w:r>
      <w:r>
        <w:rPr>
          <w:rFonts w:hint="eastAsia"/>
          <w:sz w:val="24"/>
        </w:rPr>
        <w:t>并</w:t>
      </w:r>
      <w:r>
        <w:rPr>
          <w:sz w:val="24"/>
        </w:rPr>
        <w:t>拍照。</w:t>
      </w:r>
    </w:p>
    <w:p w14:paraId="605A47A4">
      <w:pPr>
        <w:spacing w:line="360" w:lineRule="auto"/>
        <w:rPr>
          <w:sz w:val="24"/>
        </w:rPr>
      </w:pPr>
      <w:r>
        <w:rPr>
          <w:sz w:val="24"/>
        </w:rPr>
        <w:t>1.3  数据分析</w:t>
      </w:r>
    </w:p>
    <w:p w14:paraId="027B3A98">
      <w:pPr>
        <w:spacing w:line="360" w:lineRule="auto"/>
        <w:ind w:firstLine="480" w:firstLineChars="200"/>
        <w:rPr>
          <w:sz w:val="24"/>
        </w:rPr>
      </w:pPr>
      <w:r>
        <w:rPr>
          <w:sz w:val="24"/>
        </w:rPr>
        <w:t>所有数据</w:t>
      </w:r>
      <w:r>
        <w:rPr>
          <w:rFonts w:hint="eastAsia"/>
          <w:sz w:val="24"/>
        </w:rPr>
        <w:t>以平均数±</w:t>
      </w:r>
      <w:r>
        <w:rPr>
          <w:sz w:val="24"/>
        </w:rPr>
        <w:t>标准误表示</w:t>
      </w:r>
      <w:r>
        <w:rPr>
          <w:rFonts w:hint="eastAsia"/>
          <w:sz w:val="24"/>
        </w:rPr>
        <w:t>，并采用</w:t>
      </w:r>
      <w:r>
        <w:rPr>
          <w:sz w:val="24"/>
        </w:rPr>
        <w:t>SPSS 27.0 软件</w:t>
      </w:r>
      <w:r>
        <w:rPr>
          <w:rFonts w:hint="eastAsia"/>
          <w:sz w:val="24"/>
        </w:rPr>
        <w:t>（</w:t>
      </w:r>
      <w:r>
        <w:rPr>
          <w:sz w:val="24"/>
        </w:rPr>
        <w:t>IBM,美国</w:t>
      </w:r>
      <w:r>
        <w:rPr>
          <w:rFonts w:hint="eastAsia"/>
          <w:sz w:val="24"/>
        </w:rPr>
        <w:t>）进行</w:t>
      </w:r>
      <w:r>
        <w:rPr>
          <w:sz w:val="24"/>
        </w:rPr>
        <w:t>分析。首先使用Shapiro-Wilk检验评估数据的正态性，采用</w:t>
      </w:r>
      <w:r>
        <w:rPr>
          <w:rFonts w:hint="eastAsia"/>
          <w:sz w:val="24"/>
        </w:rPr>
        <w:t>Student's</w:t>
      </w:r>
      <w:r>
        <w:rPr>
          <w:sz w:val="24"/>
        </w:rPr>
        <w:t xml:space="preserve"> T检验分析两组间的差异显著性。当</w:t>
      </w:r>
      <w:r>
        <w:rPr>
          <w:i/>
          <w:iCs/>
          <w:sz w:val="24"/>
        </w:rPr>
        <w:t>P</w:t>
      </w:r>
      <w:r>
        <w:rPr>
          <w:sz w:val="24"/>
        </w:rPr>
        <w:t>&lt;0.05时表示两组间具有显著差异，以“*”标记。</w:t>
      </w:r>
    </w:p>
    <w:p w14:paraId="4C838ECB">
      <w:pPr>
        <w:spacing w:line="360" w:lineRule="auto"/>
        <w:rPr>
          <w:sz w:val="24"/>
        </w:rPr>
      </w:pPr>
    </w:p>
    <w:p w14:paraId="6E09D6B7">
      <w:pPr>
        <w:spacing w:line="360" w:lineRule="auto"/>
        <w:rPr>
          <w:sz w:val="24"/>
        </w:rPr>
      </w:pPr>
      <w:r>
        <w:rPr>
          <w:sz w:val="24"/>
        </w:rPr>
        <w:t>2  结果</w:t>
      </w:r>
    </w:p>
    <w:p w14:paraId="0A7F1A94">
      <w:pPr>
        <w:spacing w:line="360" w:lineRule="auto"/>
        <w:rPr>
          <w:sz w:val="24"/>
        </w:rPr>
      </w:pPr>
      <w:r>
        <w:rPr>
          <w:sz w:val="24"/>
        </w:rPr>
        <w:t>2.1  肝脏组织学和血清指标</w:t>
      </w:r>
    </w:p>
    <w:p w14:paraId="492B490D">
      <w:pPr>
        <w:spacing w:line="360" w:lineRule="auto"/>
        <w:ind w:firstLine="480" w:firstLineChars="200"/>
        <w:rPr>
          <w:sz w:val="24"/>
        </w:rPr>
      </w:pPr>
      <w:r>
        <w:rPr>
          <w:sz w:val="24"/>
        </w:rPr>
        <w:t>较对照组，高脂组和添加柚皮苷组对肝脏产生显著影响。HFD组肝脏组织出现空泡化</w:t>
      </w:r>
      <w:r>
        <w:rPr>
          <w:rFonts w:hint="eastAsia"/>
          <w:sz w:val="24"/>
        </w:rPr>
        <w:t>（</w:t>
      </w:r>
      <w:r>
        <w:fldChar w:fldCharType="begin"/>
      </w:r>
      <w:r>
        <w:instrText xml:space="preserve"> HYPERLINK \l "bookmark18" </w:instrText>
      </w:r>
      <w:r>
        <w:fldChar w:fldCharType="separate"/>
      </w:r>
      <w:r>
        <w:rPr>
          <w:sz w:val="24"/>
        </w:rPr>
        <w:t>图版</w:t>
      </w:r>
      <w:r>
        <w:rPr>
          <w:sz w:val="24"/>
        </w:rPr>
        <w:fldChar w:fldCharType="end"/>
      </w:r>
      <w:r>
        <w:fldChar w:fldCharType="begin"/>
      </w:r>
      <w:r>
        <w:instrText xml:space="preserve"> HYPERLINK \l "bookmark19" </w:instrText>
      </w:r>
      <w:r>
        <w:fldChar w:fldCharType="separate"/>
      </w:r>
      <w:r>
        <w:rPr>
          <w:sz w:val="24"/>
        </w:rPr>
        <w:t>Ⅰ</w:t>
      </w:r>
      <w:r>
        <w:rPr>
          <w:sz w:val="24"/>
        </w:rPr>
        <w:fldChar w:fldCharType="end"/>
      </w:r>
      <w:r>
        <w:rPr>
          <w:rFonts w:hint="eastAsia"/>
          <w:sz w:val="24"/>
        </w:rPr>
        <w:t>），</w:t>
      </w:r>
      <w:r>
        <w:rPr>
          <w:sz w:val="24"/>
        </w:rPr>
        <w:t>空泡化面积较对照组显著增加；与对照组和高脂组相比，添加Nar1.25和Nar2.5组肝脏组织空泡</w:t>
      </w:r>
      <w:bookmarkStart w:id="23" w:name="bookmark20"/>
      <w:bookmarkEnd w:id="23"/>
      <w:r>
        <w:rPr>
          <w:sz w:val="24"/>
        </w:rPr>
        <w:t>化面积均显著减少</w:t>
      </w:r>
      <w:r>
        <w:rPr>
          <w:rFonts w:hint="eastAsia"/>
          <w:sz w:val="24"/>
        </w:rPr>
        <w:t>（</w:t>
      </w:r>
      <w:r>
        <w:fldChar w:fldCharType="begin"/>
      </w:r>
      <w:r>
        <w:instrText xml:space="preserve"> HYPERLINK \l "bookmark20" </w:instrText>
      </w:r>
      <w:r>
        <w:fldChar w:fldCharType="separate"/>
      </w:r>
      <w:r>
        <w:rPr>
          <w:sz w:val="24"/>
        </w:rPr>
        <w:t>图1</w:t>
      </w:r>
      <w:r>
        <w:rPr>
          <w:sz w:val="24"/>
        </w:rPr>
        <w:fldChar w:fldCharType="end"/>
      </w:r>
      <w:r>
        <w:rPr>
          <w:rFonts w:hint="eastAsia"/>
          <w:sz w:val="24"/>
        </w:rPr>
        <w:t>）</w:t>
      </w:r>
      <w:r>
        <w:rPr>
          <w:sz w:val="24"/>
        </w:rPr>
        <w:t>。较对照组，HFD组血清中的ALT和AST活性增加</w:t>
      </w:r>
      <w:r>
        <w:rPr>
          <w:rFonts w:hint="eastAsia"/>
          <w:sz w:val="24"/>
        </w:rPr>
        <w:t>（</w:t>
      </w:r>
      <w:r>
        <w:fldChar w:fldCharType="begin"/>
      </w:r>
      <w:r>
        <w:instrText xml:space="preserve"> HYPERLINK \l "bookmark21" </w:instrText>
      </w:r>
      <w:r>
        <w:fldChar w:fldCharType="separate"/>
      </w:r>
      <w:r>
        <w:rPr>
          <w:sz w:val="24"/>
        </w:rPr>
        <w:t>图2</w:t>
      </w:r>
      <w:r>
        <w:rPr>
          <w:sz w:val="24"/>
        </w:rPr>
        <w:fldChar w:fldCharType="end"/>
      </w:r>
      <w:r>
        <w:rPr>
          <w:sz w:val="24"/>
        </w:rPr>
        <w:t>-a,b</w:t>
      </w:r>
      <w:r>
        <w:rPr>
          <w:rFonts w:hint="eastAsia"/>
          <w:sz w:val="24"/>
        </w:rPr>
        <w:t>）</w:t>
      </w:r>
      <w:r>
        <w:rPr>
          <w:sz w:val="24"/>
        </w:rPr>
        <w:t>，与对照组和高脂组相比，添加Nar1.25和Nar2.5均在一定程度上降低血清中的ALT和AST活性。</w:t>
      </w:r>
    </w:p>
    <w:p w14:paraId="1C9E54C9">
      <w:pPr>
        <w:spacing w:line="360" w:lineRule="auto"/>
        <w:rPr>
          <w:sz w:val="24"/>
        </w:rPr>
      </w:pPr>
      <w:r>
        <w:drawing>
          <wp:inline distT="0" distB="0" distL="114300" distR="114300">
            <wp:extent cx="5973445" cy="3517900"/>
            <wp:effectExtent l="0" t="0" r="8255" b="0"/>
            <wp:docPr id="7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7"/>
                    <pic:cNvPicPr>
                      <a:picLocks noChangeAspect="1"/>
                    </pic:cNvPicPr>
                  </pic:nvPicPr>
                  <pic:blipFill>
                    <a:blip r:embed="rId11"/>
                    <a:stretch>
                      <a:fillRect/>
                    </a:stretch>
                  </pic:blipFill>
                  <pic:spPr>
                    <a:xfrm>
                      <a:off x="0" y="0"/>
                      <a:ext cx="5973445" cy="3517900"/>
                    </a:xfrm>
                    <a:prstGeom prst="rect">
                      <a:avLst/>
                    </a:prstGeom>
                    <a:noFill/>
                    <a:ln>
                      <a:noFill/>
                    </a:ln>
                  </pic:spPr>
                </pic:pic>
              </a:graphicData>
            </a:graphic>
          </wp:inline>
        </w:drawing>
      </w:r>
    </w:p>
    <w:p w14:paraId="01276D6D">
      <w:pPr>
        <w:spacing w:line="360" w:lineRule="auto"/>
        <w:jc w:val="center"/>
        <w:rPr>
          <w:sz w:val="24"/>
        </w:rPr>
      </w:pPr>
      <w:r>
        <w:drawing>
          <wp:inline distT="0" distB="0" distL="114300" distR="114300">
            <wp:extent cx="3077210" cy="3751580"/>
            <wp:effectExtent l="0" t="0" r="8890" b="7620"/>
            <wp:docPr id="7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8"/>
                    <pic:cNvPicPr>
                      <a:picLocks noChangeAspect="1"/>
                    </pic:cNvPicPr>
                  </pic:nvPicPr>
                  <pic:blipFill>
                    <a:blip r:embed="rId12"/>
                    <a:stretch>
                      <a:fillRect/>
                    </a:stretch>
                  </pic:blipFill>
                  <pic:spPr>
                    <a:xfrm>
                      <a:off x="0" y="0"/>
                      <a:ext cx="3077210" cy="3751580"/>
                    </a:xfrm>
                    <a:prstGeom prst="rect">
                      <a:avLst/>
                    </a:prstGeom>
                    <a:noFill/>
                    <a:ln>
                      <a:noFill/>
                    </a:ln>
                  </pic:spPr>
                </pic:pic>
              </a:graphicData>
            </a:graphic>
          </wp:inline>
        </w:drawing>
      </w:r>
    </w:p>
    <w:p w14:paraId="609DB03C">
      <w:pPr>
        <w:spacing w:line="360" w:lineRule="auto"/>
        <w:jc w:val="center"/>
        <w:rPr>
          <w:sz w:val="24"/>
        </w:rPr>
      </w:pPr>
      <w:r>
        <w:drawing>
          <wp:inline distT="0" distB="0" distL="114300" distR="114300">
            <wp:extent cx="5662295" cy="3826510"/>
            <wp:effectExtent l="0" t="0" r="1905" b="8890"/>
            <wp:docPr id="8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9"/>
                    <pic:cNvPicPr>
                      <a:picLocks noChangeAspect="1"/>
                    </pic:cNvPicPr>
                  </pic:nvPicPr>
                  <pic:blipFill>
                    <a:blip r:embed="rId13"/>
                    <a:stretch>
                      <a:fillRect/>
                    </a:stretch>
                  </pic:blipFill>
                  <pic:spPr>
                    <a:xfrm>
                      <a:off x="0" y="0"/>
                      <a:ext cx="5662295" cy="3826510"/>
                    </a:xfrm>
                    <a:prstGeom prst="rect">
                      <a:avLst/>
                    </a:prstGeom>
                    <a:noFill/>
                    <a:ln>
                      <a:noFill/>
                    </a:ln>
                  </pic:spPr>
                </pic:pic>
              </a:graphicData>
            </a:graphic>
          </wp:inline>
        </w:drawing>
      </w:r>
    </w:p>
    <w:p w14:paraId="1C7ECC23">
      <w:pPr>
        <w:spacing w:line="360" w:lineRule="auto"/>
        <w:rPr>
          <w:sz w:val="24"/>
        </w:rPr>
      </w:pPr>
      <w:r>
        <w:rPr>
          <w:sz w:val="24"/>
        </w:rPr>
        <w:t>2.2  肝脏脂质代谢</w:t>
      </w:r>
    </w:p>
    <w:p w14:paraId="476A0D97">
      <w:pPr>
        <w:spacing w:line="360" w:lineRule="auto"/>
        <w:ind w:firstLine="480" w:firstLineChars="200"/>
        <w:rPr>
          <w:sz w:val="24"/>
        </w:rPr>
      </w:pPr>
      <w:r>
        <w:rPr>
          <w:sz w:val="24"/>
        </w:rPr>
        <w:t>肝脏油红O染色结果显示，与对照组相比，HFD显著增加了肝脏中脂滴的积累</w:t>
      </w:r>
      <w:r>
        <w:rPr>
          <w:rFonts w:hint="eastAsia"/>
          <w:sz w:val="24"/>
        </w:rPr>
        <w:t>（</w:t>
      </w:r>
      <w:r>
        <w:fldChar w:fldCharType="begin"/>
      </w:r>
      <w:r>
        <w:instrText xml:space="preserve"> HYPERLINK \l "bookmark22" </w:instrText>
      </w:r>
      <w:r>
        <w:fldChar w:fldCharType="separate"/>
      </w:r>
      <w:r>
        <w:rPr>
          <w:sz w:val="24"/>
        </w:rPr>
        <w:t>图版Ⅱ</w:t>
      </w:r>
      <w:r>
        <w:rPr>
          <w:sz w:val="24"/>
        </w:rPr>
        <w:fldChar w:fldCharType="end"/>
      </w:r>
      <w:r>
        <w:rPr>
          <w:rFonts w:hint="eastAsia"/>
          <w:sz w:val="24"/>
        </w:rPr>
        <w:t>）</w:t>
      </w:r>
      <w:r>
        <w:rPr>
          <w:sz w:val="24"/>
        </w:rPr>
        <w:t>；较对照组和高脂组，添加Nar1.25和Nar2.5组均显著降低肝脏染色切片中脂滴的积累</w:t>
      </w:r>
      <w:r>
        <w:rPr>
          <w:rFonts w:hint="eastAsia"/>
          <w:sz w:val="24"/>
        </w:rPr>
        <w:t>（</w:t>
      </w:r>
      <w:r>
        <w:fldChar w:fldCharType="begin"/>
      </w:r>
      <w:r>
        <w:instrText xml:space="preserve"> HYPERLINK \l "bookmark23" </w:instrText>
      </w:r>
      <w:r>
        <w:fldChar w:fldCharType="separate"/>
      </w:r>
      <w:r>
        <w:rPr>
          <w:sz w:val="24"/>
        </w:rPr>
        <w:t>图版Ⅱ</w:t>
      </w:r>
      <w:r>
        <w:rPr>
          <w:sz w:val="24"/>
        </w:rPr>
        <w:fldChar w:fldCharType="end"/>
      </w:r>
      <w:r>
        <w:rPr>
          <w:rFonts w:hint="eastAsia"/>
          <w:sz w:val="24"/>
        </w:rPr>
        <w:t>）</w:t>
      </w:r>
      <w:r>
        <w:rPr>
          <w:sz w:val="24"/>
        </w:rPr>
        <w:t>、脂滴相对面积和TG含量</w:t>
      </w:r>
      <w:r>
        <w:rPr>
          <w:rFonts w:hint="eastAsia"/>
          <w:sz w:val="24"/>
        </w:rPr>
        <w:t>（</w:t>
      </w:r>
      <w:r>
        <w:fldChar w:fldCharType="begin"/>
      </w:r>
      <w:r>
        <w:instrText xml:space="preserve"> HYPERLINK \l "bookmark24" </w:instrText>
      </w:r>
      <w:r>
        <w:fldChar w:fldCharType="separate"/>
      </w:r>
      <w:r>
        <w:rPr>
          <w:sz w:val="24"/>
        </w:rPr>
        <w:t>图3</w:t>
      </w:r>
      <w:r>
        <w:rPr>
          <w:sz w:val="24"/>
        </w:rPr>
        <w:fldChar w:fldCharType="end"/>
      </w:r>
      <w:r>
        <w:rPr>
          <w:sz w:val="24"/>
        </w:rPr>
        <w:t>-a，b</w:t>
      </w:r>
      <w:r>
        <w:rPr>
          <w:rFonts w:hint="eastAsia"/>
          <w:sz w:val="24"/>
        </w:rPr>
        <w:t>）</w:t>
      </w:r>
      <w:r>
        <w:rPr>
          <w:sz w:val="24"/>
        </w:rPr>
        <w:t>，表明添加高脂和柚皮苷对肝脏脂质代谢产生显著影响。</w:t>
      </w:r>
    </w:p>
    <w:p w14:paraId="4A984082">
      <w:pPr>
        <w:spacing w:line="360" w:lineRule="auto"/>
        <w:jc w:val="center"/>
        <w:rPr>
          <w:sz w:val="24"/>
        </w:rPr>
      </w:pPr>
      <w:r>
        <w:drawing>
          <wp:inline distT="0" distB="0" distL="114300" distR="114300">
            <wp:extent cx="5292090" cy="3229610"/>
            <wp:effectExtent l="0" t="0" r="3810" b="8890"/>
            <wp:docPr id="8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0"/>
                    <pic:cNvPicPr>
                      <a:picLocks noChangeAspect="1"/>
                    </pic:cNvPicPr>
                  </pic:nvPicPr>
                  <pic:blipFill>
                    <a:blip r:embed="rId14"/>
                    <a:stretch>
                      <a:fillRect/>
                    </a:stretch>
                  </pic:blipFill>
                  <pic:spPr>
                    <a:xfrm>
                      <a:off x="0" y="0"/>
                      <a:ext cx="5292090" cy="3229610"/>
                    </a:xfrm>
                    <a:prstGeom prst="rect">
                      <a:avLst/>
                    </a:prstGeom>
                    <a:noFill/>
                    <a:ln>
                      <a:noFill/>
                    </a:ln>
                  </pic:spPr>
                </pic:pic>
              </a:graphicData>
            </a:graphic>
          </wp:inline>
        </w:drawing>
      </w:r>
    </w:p>
    <w:p w14:paraId="4DEF8F38">
      <w:pPr>
        <w:spacing w:line="360" w:lineRule="auto"/>
        <w:rPr>
          <w:sz w:val="24"/>
        </w:rPr>
      </w:pPr>
      <w:r>
        <w:drawing>
          <wp:inline distT="0" distB="0" distL="114300" distR="114300">
            <wp:extent cx="5974715" cy="3720465"/>
            <wp:effectExtent l="0" t="0" r="6985" b="635"/>
            <wp:docPr id="8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2"/>
                    <pic:cNvPicPr>
                      <a:picLocks noChangeAspect="1"/>
                    </pic:cNvPicPr>
                  </pic:nvPicPr>
                  <pic:blipFill>
                    <a:blip r:embed="rId15"/>
                    <a:stretch>
                      <a:fillRect/>
                    </a:stretch>
                  </pic:blipFill>
                  <pic:spPr>
                    <a:xfrm>
                      <a:off x="0" y="0"/>
                      <a:ext cx="5974715" cy="3720465"/>
                    </a:xfrm>
                    <a:prstGeom prst="rect">
                      <a:avLst/>
                    </a:prstGeom>
                    <a:noFill/>
                    <a:ln>
                      <a:noFill/>
                    </a:ln>
                  </pic:spPr>
                </pic:pic>
              </a:graphicData>
            </a:graphic>
          </wp:inline>
        </w:drawing>
      </w:r>
    </w:p>
    <w:p w14:paraId="7A5648EF">
      <w:pPr>
        <w:spacing w:line="360" w:lineRule="auto"/>
        <w:ind w:firstLine="480" w:firstLineChars="200"/>
        <w:rPr>
          <w:sz w:val="24"/>
        </w:rPr>
      </w:pPr>
      <w:r>
        <w:rPr>
          <w:sz w:val="24"/>
        </w:rPr>
        <w:t>与对照组相比，HFD组肝脏中</w:t>
      </w:r>
      <w:r>
        <w:rPr>
          <w:i/>
          <w:iCs/>
          <w:sz w:val="24"/>
        </w:rPr>
        <w:t>scd1</w:t>
      </w:r>
      <w:r>
        <w:rPr>
          <w:sz w:val="24"/>
        </w:rPr>
        <w:t>、</w:t>
      </w:r>
      <w:r>
        <w:rPr>
          <w:i/>
          <w:iCs/>
          <w:sz w:val="24"/>
        </w:rPr>
        <w:t>fas</w:t>
      </w:r>
      <w:r>
        <w:rPr>
          <w:sz w:val="24"/>
        </w:rPr>
        <w:t>、</w:t>
      </w:r>
      <w:r>
        <w:rPr>
          <w:i/>
          <w:iCs/>
          <w:sz w:val="24"/>
        </w:rPr>
        <w:t>acca</w:t>
      </w:r>
      <w:r>
        <w:rPr>
          <w:sz w:val="24"/>
        </w:rPr>
        <w:t>、</w:t>
      </w:r>
      <w:r>
        <w:rPr>
          <w:i/>
          <w:iCs/>
          <w:sz w:val="24"/>
        </w:rPr>
        <w:t>srebp1</w:t>
      </w:r>
      <w:r>
        <w:rPr>
          <w:sz w:val="24"/>
        </w:rPr>
        <w:t>、</w:t>
      </w:r>
      <w:r>
        <w:rPr>
          <w:i/>
          <w:iCs/>
          <w:sz w:val="24"/>
        </w:rPr>
        <w:t>pparγ</w:t>
      </w:r>
      <w:r>
        <w:rPr>
          <w:sz w:val="24"/>
        </w:rPr>
        <w:t>的mRNA表达显著升高，</w:t>
      </w:r>
      <w:r>
        <w:rPr>
          <w:i/>
          <w:iCs/>
          <w:sz w:val="24"/>
        </w:rPr>
        <w:t>cpt1</w:t>
      </w:r>
      <w:r>
        <w:rPr>
          <w:sz w:val="24"/>
        </w:rPr>
        <w:t>、</w:t>
      </w:r>
      <w:r>
        <w:rPr>
          <w:i/>
          <w:iCs/>
          <w:sz w:val="24"/>
        </w:rPr>
        <w:t>cpt2</w:t>
      </w:r>
      <w:r>
        <w:rPr>
          <w:sz w:val="24"/>
        </w:rPr>
        <w:t>、</w:t>
      </w:r>
      <w:r>
        <w:rPr>
          <w:i/>
          <w:iCs/>
          <w:sz w:val="24"/>
        </w:rPr>
        <w:t>atgl</w:t>
      </w:r>
      <w:r>
        <w:rPr>
          <w:sz w:val="24"/>
        </w:rPr>
        <w:t>、</w:t>
      </w:r>
      <w:r>
        <w:rPr>
          <w:i/>
          <w:iCs/>
          <w:sz w:val="24"/>
        </w:rPr>
        <w:t>hsl</w:t>
      </w:r>
      <w:r>
        <w:rPr>
          <w:sz w:val="24"/>
        </w:rPr>
        <w:t>、</w:t>
      </w:r>
      <w:r>
        <w:rPr>
          <w:i/>
          <w:iCs/>
          <w:sz w:val="24"/>
        </w:rPr>
        <w:t>pparα</w:t>
      </w:r>
      <w:r>
        <w:rPr>
          <w:sz w:val="24"/>
        </w:rPr>
        <w:t>的mRNA表达显著降低</w:t>
      </w:r>
      <w:r>
        <w:rPr>
          <w:rFonts w:hint="eastAsia"/>
          <w:sz w:val="24"/>
        </w:rPr>
        <w:t>（</w:t>
      </w:r>
      <w:r>
        <w:fldChar w:fldCharType="begin"/>
      </w:r>
      <w:r>
        <w:instrText xml:space="preserve"> HYPERLINK \l "bookmark25" </w:instrText>
      </w:r>
      <w:r>
        <w:fldChar w:fldCharType="separate"/>
      </w:r>
      <w:r>
        <w:rPr>
          <w:sz w:val="24"/>
        </w:rPr>
        <w:t>图4</w:t>
      </w:r>
      <w:r>
        <w:rPr>
          <w:sz w:val="24"/>
        </w:rPr>
        <w:fldChar w:fldCharType="end"/>
      </w:r>
      <w:r>
        <w:rPr>
          <w:rFonts w:hint="eastAsia"/>
          <w:sz w:val="24"/>
        </w:rPr>
        <w:t>）</w:t>
      </w:r>
      <w:r>
        <w:rPr>
          <w:sz w:val="24"/>
        </w:rPr>
        <w:t>。与</w:t>
      </w:r>
      <w:r>
        <w:rPr>
          <w:rFonts w:hint="eastAsia"/>
          <w:sz w:val="24"/>
        </w:rPr>
        <w:t>对照组</w:t>
      </w:r>
      <w:r>
        <w:rPr>
          <w:sz w:val="24"/>
        </w:rPr>
        <w:t>相比，添加Nar1.25显著提高</w:t>
      </w:r>
      <w:r>
        <w:rPr>
          <w:rFonts w:hint="eastAsia"/>
          <w:i/>
          <w:iCs/>
          <w:sz w:val="24"/>
        </w:rPr>
        <w:t>cpt1</w:t>
      </w:r>
      <w:r>
        <w:rPr>
          <w:sz w:val="24"/>
        </w:rPr>
        <w:t>、</w:t>
      </w:r>
      <w:r>
        <w:rPr>
          <w:i/>
          <w:iCs/>
          <w:sz w:val="24"/>
        </w:rPr>
        <w:t>cpt2</w:t>
      </w:r>
      <w:r>
        <w:rPr>
          <w:sz w:val="24"/>
        </w:rPr>
        <w:t>、</w:t>
      </w:r>
      <w:r>
        <w:rPr>
          <w:i/>
          <w:iCs/>
          <w:sz w:val="24"/>
        </w:rPr>
        <w:t>atgl</w:t>
      </w:r>
      <w:r>
        <w:rPr>
          <w:sz w:val="24"/>
        </w:rPr>
        <w:t>、</w:t>
      </w:r>
      <w:r>
        <w:rPr>
          <w:i/>
          <w:iCs/>
          <w:sz w:val="24"/>
        </w:rPr>
        <w:t>hsl</w:t>
      </w:r>
      <w:r>
        <w:rPr>
          <w:sz w:val="24"/>
        </w:rPr>
        <w:t>、</w:t>
      </w:r>
      <w:r>
        <w:rPr>
          <w:i/>
          <w:iCs/>
          <w:sz w:val="24"/>
        </w:rPr>
        <w:t>pparα</w:t>
      </w:r>
      <w:r>
        <w:rPr>
          <w:sz w:val="24"/>
        </w:rPr>
        <w:t>的mRNA表达，降低</w:t>
      </w:r>
      <w:r>
        <w:rPr>
          <w:i/>
          <w:iCs/>
          <w:sz w:val="24"/>
        </w:rPr>
        <w:t>scd1</w:t>
      </w:r>
      <w:r>
        <w:rPr>
          <w:sz w:val="24"/>
        </w:rPr>
        <w:t>、</w:t>
      </w:r>
      <w:r>
        <w:rPr>
          <w:i/>
          <w:iCs/>
          <w:sz w:val="24"/>
        </w:rPr>
        <w:t>fas</w:t>
      </w:r>
      <w:r>
        <w:rPr>
          <w:sz w:val="24"/>
        </w:rPr>
        <w:t>、</w:t>
      </w:r>
      <w:r>
        <w:rPr>
          <w:rFonts w:hint="eastAsia"/>
          <w:i/>
          <w:iCs/>
          <w:sz w:val="24"/>
        </w:rPr>
        <w:t>srecp1</w:t>
      </w:r>
      <w:r>
        <w:rPr>
          <w:sz w:val="24"/>
        </w:rPr>
        <w:t>的mRNA表达；添加Nar2.5</w:t>
      </w:r>
      <w:r>
        <w:rPr>
          <w:rFonts w:hint="eastAsia"/>
          <w:sz w:val="24"/>
        </w:rPr>
        <w:t>显著提高</w:t>
      </w:r>
      <w:r>
        <w:rPr>
          <w:rFonts w:hint="eastAsia"/>
          <w:i/>
          <w:iCs/>
          <w:sz w:val="24"/>
        </w:rPr>
        <w:t>cpt1</w:t>
      </w:r>
      <w:r>
        <w:rPr>
          <w:sz w:val="24"/>
        </w:rPr>
        <w:t>、</w:t>
      </w:r>
      <w:r>
        <w:rPr>
          <w:i/>
          <w:iCs/>
          <w:sz w:val="24"/>
        </w:rPr>
        <w:t>cpt2</w:t>
      </w:r>
      <w:r>
        <w:rPr>
          <w:sz w:val="24"/>
        </w:rPr>
        <w:t>、</w:t>
      </w:r>
      <w:r>
        <w:rPr>
          <w:i/>
          <w:iCs/>
          <w:sz w:val="24"/>
        </w:rPr>
        <w:t>atgl</w:t>
      </w:r>
      <w:r>
        <w:rPr>
          <w:sz w:val="24"/>
        </w:rPr>
        <w:t>、</w:t>
      </w:r>
      <w:r>
        <w:rPr>
          <w:i/>
          <w:iCs/>
          <w:sz w:val="24"/>
        </w:rPr>
        <w:t>hsl</w:t>
      </w:r>
      <w:r>
        <w:rPr>
          <w:sz w:val="24"/>
        </w:rPr>
        <w:t>、</w:t>
      </w:r>
      <w:r>
        <w:rPr>
          <w:i/>
          <w:iCs/>
          <w:sz w:val="24"/>
        </w:rPr>
        <w:t>pparα</w:t>
      </w:r>
      <w:r>
        <w:rPr>
          <w:sz w:val="24"/>
        </w:rPr>
        <w:t>的</w:t>
      </w:r>
      <w:r>
        <w:rPr>
          <w:rFonts w:hint="eastAsia"/>
          <w:sz w:val="24"/>
        </w:rPr>
        <w:t>mRNA</w:t>
      </w:r>
      <w:r>
        <w:rPr>
          <w:sz w:val="24"/>
        </w:rPr>
        <w:t>达，</w:t>
      </w:r>
      <w:r>
        <w:rPr>
          <w:rFonts w:hint="eastAsia"/>
          <w:sz w:val="24"/>
        </w:rPr>
        <w:t>降低</w:t>
      </w:r>
      <w:r>
        <w:rPr>
          <w:i/>
          <w:iCs/>
          <w:sz w:val="24"/>
        </w:rPr>
        <w:t>scd1</w:t>
      </w:r>
      <w:r>
        <w:rPr>
          <w:sz w:val="24"/>
        </w:rPr>
        <w:t>、</w:t>
      </w:r>
      <w:r>
        <w:rPr>
          <w:i/>
          <w:iCs/>
          <w:sz w:val="24"/>
        </w:rPr>
        <w:t>fas</w:t>
      </w:r>
      <w:r>
        <w:rPr>
          <w:sz w:val="24"/>
        </w:rPr>
        <w:t>、</w:t>
      </w:r>
      <w:r>
        <w:rPr>
          <w:i/>
          <w:iCs/>
          <w:sz w:val="24"/>
        </w:rPr>
        <w:t>acca</w:t>
      </w:r>
      <w:r>
        <w:rPr>
          <w:sz w:val="24"/>
        </w:rPr>
        <w:t>、</w:t>
      </w:r>
      <w:r>
        <w:rPr>
          <w:rFonts w:hint="eastAsia"/>
          <w:i/>
          <w:iCs/>
          <w:sz w:val="24"/>
        </w:rPr>
        <w:t>srecp1</w:t>
      </w:r>
      <w:r>
        <w:rPr>
          <w:sz w:val="24"/>
        </w:rPr>
        <w:t>、</w:t>
      </w:r>
      <w:r>
        <w:rPr>
          <w:i/>
          <w:iCs/>
          <w:sz w:val="24"/>
        </w:rPr>
        <w:t>pparγ</w:t>
      </w:r>
      <w:r>
        <w:rPr>
          <w:rFonts w:hint="eastAsia"/>
          <w:sz w:val="24"/>
        </w:rPr>
        <w:t>的mRNA</w:t>
      </w:r>
      <w:r>
        <w:rPr>
          <w:sz w:val="24"/>
        </w:rPr>
        <w:t>达。与高脂组相比，添加Nar1.25和Nar2.5显著提高</w:t>
      </w:r>
      <w:r>
        <w:rPr>
          <w:i/>
          <w:iCs/>
          <w:sz w:val="24"/>
        </w:rPr>
        <w:t>cpt1</w:t>
      </w:r>
      <w:r>
        <w:rPr>
          <w:sz w:val="24"/>
        </w:rPr>
        <w:t>、</w:t>
      </w:r>
      <w:r>
        <w:rPr>
          <w:i/>
          <w:iCs/>
          <w:sz w:val="24"/>
        </w:rPr>
        <w:t>cpt2</w:t>
      </w:r>
      <w:r>
        <w:rPr>
          <w:sz w:val="24"/>
        </w:rPr>
        <w:t>、</w:t>
      </w:r>
      <w:r>
        <w:rPr>
          <w:i/>
          <w:iCs/>
          <w:sz w:val="24"/>
        </w:rPr>
        <w:t>atgl</w:t>
      </w:r>
      <w:r>
        <w:rPr>
          <w:sz w:val="24"/>
        </w:rPr>
        <w:t>、</w:t>
      </w:r>
      <w:r>
        <w:rPr>
          <w:i/>
          <w:iCs/>
          <w:sz w:val="24"/>
        </w:rPr>
        <w:t>hsl</w:t>
      </w:r>
      <w:r>
        <w:rPr>
          <w:sz w:val="24"/>
        </w:rPr>
        <w:t>、</w:t>
      </w:r>
      <w:r>
        <w:rPr>
          <w:i/>
          <w:iCs/>
          <w:sz w:val="24"/>
        </w:rPr>
        <w:t>pparα</w:t>
      </w:r>
      <w:r>
        <w:rPr>
          <w:sz w:val="24"/>
        </w:rPr>
        <w:t>的mRNA表达，降低</w:t>
      </w:r>
      <w:r>
        <w:rPr>
          <w:i/>
          <w:iCs/>
          <w:sz w:val="24"/>
        </w:rPr>
        <w:t>scd1</w:t>
      </w:r>
      <w:r>
        <w:rPr>
          <w:sz w:val="24"/>
        </w:rPr>
        <w:t>、</w:t>
      </w:r>
      <w:r>
        <w:rPr>
          <w:i/>
          <w:iCs/>
          <w:sz w:val="24"/>
        </w:rPr>
        <w:t>fas</w:t>
      </w:r>
      <w:r>
        <w:rPr>
          <w:sz w:val="24"/>
        </w:rPr>
        <w:t>、</w:t>
      </w:r>
      <w:r>
        <w:rPr>
          <w:i/>
          <w:iCs/>
          <w:sz w:val="24"/>
        </w:rPr>
        <w:t>acca</w:t>
      </w:r>
      <w:r>
        <w:rPr>
          <w:sz w:val="24"/>
        </w:rPr>
        <w:t>、</w:t>
      </w:r>
      <w:r>
        <w:rPr>
          <w:i/>
          <w:iCs/>
          <w:sz w:val="24"/>
        </w:rPr>
        <w:t>srebp1</w:t>
      </w:r>
      <w:r>
        <w:rPr>
          <w:sz w:val="24"/>
        </w:rPr>
        <w:t>、</w:t>
      </w:r>
      <w:r>
        <w:rPr>
          <w:i/>
          <w:iCs/>
          <w:sz w:val="24"/>
        </w:rPr>
        <w:t>pparγ</w:t>
      </w:r>
      <w:r>
        <w:rPr>
          <w:sz w:val="24"/>
        </w:rPr>
        <w:t>的mRNA表达</w:t>
      </w:r>
      <w:r>
        <w:rPr>
          <w:rFonts w:hint="eastAsia"/>
          <w:sz w:val="24"/>
        </w:rPr>
        <w:t>（</w:t>
      </w:r>
      <w:r>
        <w:fldChar w:fldCharType="begin"/>
      </w:r>
      <w:r>
        <w:instrText xml:space="preserve"> HYPERLINK \l "bookmark26" </w:instrText>
      </w:r>
      <w:r>
        <w:fldChar w:fldCharType="separate"/>
      </w:r>
      <w:r>
        <w:rPr>
          <w:sz w:val="24"/>
        </w:rPr>
        <w:t>图4</w:t>
      </w:r>
      <w:r>
        <w:rPr>
          <w:sz w:val="24"/>
        </w:rPr>
        <w:fldChar w:fldCharType="end"/>
      </w:r>
      <w:r>
        <w:rPr>
          <w:rFonts w:hint="eastAsia"/>
          <w:sz w:val="24"/>
        </w:rPr>
        <w:t>）</w:t>
      </w:r>
      <w:r>
        <w:rPr>
          <w:sz w:val="24"/>
        </w:rPr>
        <w:t>。综上表明，HFD导致肝脏脂质沉积，添加Nar可缓解HFD对肝脏的影响。</w:t>
      </w:r>
    </w:p>
    <w:p w14:paraId="5B38E0C0">
      <w:pPr>
        <w:spacing w:line="360" w:lineRule="auto"/>
        <w:rPr>
          <w:sz w:val="24"/>
        </w:rPr>
      </w:pPr>
      <w:r>
        <w:drawing>
          <wp:inline distT="0" distB="0" distL="114300" distR="114300">
            <wp:extent cx="5975985" cy="2649220"/>
            <wp:effectExtent l="0" t="0" r="5715" b="5080"/>
            <wp:docPr id="8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43"/>
                    <pic:cNvPicPr>
                      <a:picLocks noChangeAspect="1"/>
                    </pic:cNvPicPr>
                  </pic:nvPicPr>
                  <pic:blipFill>
                    <a:blip r:embed="rId16"/>
                    <a:stretch>
                      <a:fillRect/>
                    </a:stretch>
                  </pic:blipFill>
                  <pic:spPr>
                    <a:xfrm>
                      <a:off x="0" y="0"/>
                      <a:ext cx="5975985" cy="2649220"/>
                    </a:xfrm>
                    <a:prstGeom prst="rect">
                      <a:avLst/>
                    </a:prstGeom>
                    <a:noFill/>
                    <a:ln>
                      <a:noFill/>
                    </a:ln>
                  </pic:spPr>
                </pic:pic>
              </a:graphicData>
            </a:graphic>
          </wp:inline>
        </w:drawing>
      </w:r>
    </w:p>
    <w:p w14:paraId="3012FD31">
      <w:pPr>
        <w:spacing w:line="360" w:lineRule="auto"/>
        <w:rPr>
          <w:sz w:val="24"/>
        </w:rPr>
      </w:pPr>
      <w:r>
        <w:drawing>
          <wp:inline distT="0" distB="0" distL="114300" distR="114300">
            <wp:extent cx="5973445" cy="2905760"/>
            <wp:effectExtent l="0" t="0" r="8255" b="2540"/>
            <wp:docPr id="8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4"/>
                    <pic:cNvPicPr>
                      <a:picLocks noChangeAspect="1"/>
                    </pic:cNvPicPr>
                  </pic:nvPicPr>
                  <pic:blipFill>
                    <a:blip r:embed="rId17"/>
                    <a:stretch>
                      <a:fillRect/>
                    </a:stretch>
                  </pic:blipFill>
                  <pic:spPr>
                    <a:xfrm>
                      <a:off x="0" y="0"/>
                      <a:ext cx="5973445" cy="2905760"/>
                    </a:xfrm>
                    <a:prstGeom prst="rect">
                      <a:avLst/>
                    </a:prstGeom>
                    <a:noFill/>
                    <a:ln>
                      <a:noFill/>
                    </a:ln>
                  </pic:spPr>
                </pic:pic>
              </a:graphicData>
            </a:graphic>
          </wp:inline>
        </w:drawing>
      </w:r>
      <w:r>
        <w:drawing>
          <wp:inline distT="0" distB="0" distL="114300" distR="114300">
            <wp:extent cx="5974715" cy="4643755"/>
            <wp:effectExtent l="0" t="0" r="6985" b="4445"/>
            <wp:docPr id="8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5"/>
                    <pic:cNvPicPr>
                      <a:picLocks noChangeAspect="1"/>
                    </pic:cNvPicPr>
                  </pic:nvPicPr>
                  <pic:blipFill>
                    <a:blip r:embed="rId18"/>
                    <a:stretch>
                      <a:fillRect/>
                    </a:stretch>
                  </pic:blipFill>
                  <pic:spPr>
                    <a:xfrm>
                      <a:off x="0" y="0"/>
                      <a:ext cx="5974715" cy="4643755"/>
                    </a:xfrm>
                    <a:prstGeom prst="rect">
                      <a:avLst/>
                    </a:prstGeom>
                    <a:noFill/>
                    <a:ln>
                      <a:noFill/>
                    </a:ln>
                  </pic:spPr>
                </pic:pic>
              </a:graphicData>
            </a:graphic>
          </wp:inline>
        </w:drawing>
      </w:r>
      <w:r>
        <w:rPr>
          <w:sz w:val="24"/>
        </w:rPr>
        <w:t>2.3  肝脏内质网应激</w:t>
      </w:r>
    </w:p>
    <w:p w14:paraId="638819AA">
      <w:pPr>
        <w:spacing w:line="360" w:lineRule="auto"/>
        <w:ind w:firstLine="480" w:firstLineChars="200"/>
        <w:rPr>
          <w:sz w:val="24"/>
        </w:rPr>
      </w:pPr>
      <w:r>
        <w:rPr>
          <w:sz w:val="24"/>
        </w:rPr>
        <w:t>内质网是参与脂质代谢的重要细胞器，本实验探究饲料添加高脂和柚皮苷处理对内质网应激的影响，结果显示，与对照组相比，高脂组显著促进内质网应激发生，透射电镜观察发现，内质网发生明显肿胀，而添加柚皮苷可缓解内质网应激</w:t>
      </w:r>
      <w:r>
        <w:fldChar w:fldCharType="begin"/>
      </w:r>
      <w:r>
        <w:instrText xml:space="preserve"> HYPERLINK \l "bookmark27" </w:instrText>
      </w:r>
      <w:r>
        <w:fldChar w:fldCharType="separate"/>
      </w:r>
      <w:r>
        <w:rPr>
          <w:rFonts w:hint="eastAsia"/>
          <w:sz w:val="24"/>
        </w:rPr>
        <w:t>（</w:t>
      </w:r>
      <w:r>
        <w:rPr>
          <w:sz w:val="24"/>
        </w:rPr>
        <w:t>图版</w:t>
      </w:r>
      <w:r>
        <w:rPr>
          <w:sz w:val="24"/>
        </w:rPr>
        <w:fldChar w:fldCharType="end"/>
      </w:r>
      <w:r>
        <w:fldChar w:fldCharType="begin"/>
      </w:r>
      <w:r>
        <w:instrText xml:space="preserve"> HYPERLINK \l "bookmark28" </w:instrText>
      </w:r>
      <w:r>
        <w:fldChar w:fldCharType="separate"/>
      </w:r>
      <w:r>
        <w:rPr>
          <w:sz w:val="24"/>
        </w:rPr>
        <w:t>Ⅲ</w:t>
      </w:r>
      <w:r>
        <w:rPr>
          <w:sz w:val="24"/>
        </w:rPr>
        <w:fldChar w:fldCharType="end"/>
      </w:r>
      <w:r>
        <w:rPr>
          <w:rFonts w:hint="eastAsia"/>
          <w:sz w:val="24"/>
        </w:rPr>
        <w:t>）</w:t>
      </w:r>
      <w:r>
        <w:rPr>
          <w:sz w:val="24"/>
        </w:rPr>
        <w:t>。</w:t>
      </w:r>
    </w:p>
    <w:p w14:paraId="774D78EE">
      <w:pPr>
        <w:spacing w:line="360" w:lineRule="auto"/>
        <w:ind w:firstLine="480" w:firstLineChars="200"/>
        <w:rPr>
          <w:sz w:val="24"/>
        </w:rPr>
      </w:pPr>
      <w:r>
        <w:rPr>
          <w:sz w:val="24"/>
        </w:rPr>
        <w:t>进一步研究发现，高脂和柚皮苷对内质网应激相关通路基因的mRNA表达和标志蛋白GRP78的表达量具有显著影响。结果显示，与对照组相比，高脂组</w:t>
      </w:r>
      <w:r>
        <w:rPr>
          <w:rFonts w:hint="eastAsia"/>
          <w:sz w:val="24"/>
        </w:rPr>
        <w:t>显著</w:t>
      </w:r>
      <w:r>
        <w:rPr>
          <w:sz w:val="24"/>
        </w:rPr>
        <w:t>提高内质网应激相关基因</w:t>
      </w:r>
      <w:r>
        <w:rPr>
          <w:i/>
          <w:iCs/>
          <w:sz w:val="24"/>
        </w:rPr>
        <w:t>ire1</w:t>
      </w:r>
      <w:r>
        <w:rPr>
          <w:sz w:val="24"/>
        </w:rPr>
        <w:t>、</w:t>
      </w:r>
      <w:r>
        <w:rPr>
          <w:i/>
          <w:iCs/>
          <w:sz w:val="24"/>
        </w:rPr>
        <w:t>xbp1</w:t>
      </w:r>
      <w:r>
        <w:rPr>
          <w:sz w:val="24"/>
        </w:rPr>
        <w:t>、</w:t>
      </w:r>
      <w:r>
        <w:rPr>
          <w:i/>
          <w:iCs/>
          <w:sz w:val="24"/>
        </w:rPr>
        <w:t>elf2a</w:t>
      </w:r>
      <w:r>
        <w:rPr>
          <w:sz w:val="24"/>
        </w:rPr>
        <w:t>、</w:t>
      </w:r>
      <w:r>
        <w:rPr>
          <w:i/>
          <w:iCs/>
          <w:sz w:val="24"/>
        </w:rPr>
        <w:t>atf4</w:t>
      </w:r>
      <w:r>
        <w:rPr>
          <w:sz w:val="24"/>
        </w:rPr>
        <w:t>、</w:t>
      </w:r>
      <w:r>
        <w:rPr>
          <w:i/>
          <w:iCs/>
          <w:sz w:val="24"/>
        </w:rPr>
        <w:t>atf6</w:t>
      </w:r>
      <w:r>
        <w:rPr>
          <w:sz w:val="24"/>
        </w:rPr>
        <w:t>、</w:t>
      </w:r>
      <w:r>
        <w:rPr>
          <w:i/>
          <w:iCs/>
          <w:sz w:val="24"/>
        </w:rPr>
        <w:t>chop</w:t>
      </w:r>
      <w:r>
        <w:rPr>
          <w:sz w:val="24"/>
        </w:rPr>
        <w:t>、</w:t>
      </w:r>
      <w:r>
        <w:rPr>
          <w:i/>
          <w:iCs/>
          <w:sz w:val="24"/>
        </w:rPr>
        <w:t>grp78</w:t>
      </w:r>
      <w:r>
        <w:rPr>
          <w:sz w:val="24"/>
        </w:rPr>
        <w:t>的mRNA</w:t>
      </w:r>
      <w:r>
        <w:rPr>
          <w:rFonts w:hint="eastAsia"/>
          <w:sz w:val="24"/>
        </w:rPr>
        <w:t>以及</w:t>
      </w:r>
      <w:r>
        <w:rPr>
          <w:sz w:val="24"/>
        </w:rPr>
        <w:t>GRP78蛋白的表达水平</w:t>
      </w:r>
      <w:r>
        <w:rPr>
          <w:rFonts w:hint="eastAsia"/>
          <w:sz w:val="24"/>
        </w:rPr>
        <w:t>（</w:t>
      </w:r>
      <w:r>
        <w:fldChar w:fldCharType="begin"/>
      </w:r>
      <w:r>
        <w:instrText xml:space="preserve"> HYPERLINK \l "bookmark29" </w:instrText>
      </w:r>
      <w:r>
        <w:fldChar w:fldCharType="separate"/>
      </w:r>
      <w:r>
        <w:rPr>
          <w:sz w:val="24"/>
        </w:rPr>
        <w:t>图5</w:t>
      </w:r>
      <w:r>
        <w:rPr>
          <w:sz w:val="24"/>
        </w:rPr>
        <w:fldChar w:fldCharType="end"/>
      </w:r>
      <w:r>
        <w:rPr>
          <w:sz w:val="24"/>
        </w:rPr>
        <w:t>-a，c</w:t>
      </w:r>
      <w:r>
        <w:rPr>
          <w:rFonts w:hint="eastAsia"/>
          <w:sz w:val="24"/>
        </w:rPr>
        <w:t>）</w:t>
      </w:r>
      <w:r>
        <w:rPr>
          <w:sz w:val="24"/>
        </w:rPr>
        <w:t>。相较对照组，添加Nar1.25组显著降低</w:t>
      </w:r>
      <w:r>
        <w:rPr>
          <w:i/>
          <w:iCs/>
          <w:sz w:val="24"/>
        </w:rPr>
        <w:t>atf6</w:t>
      </w:r>
      <w:r>
        <w:rPr>
          <w:sz w:val="24"/>
        </w:rPr>
        <w:t>、</w:t>
      </w:r>
      <w:r>
        <w:rPr>
          <w:rFonts w:hint="eastAsia"/>
          <w:i/>
          <w:iCs/>
          <w:sz w:val="24"/>
        </w:rPr>
        <w:t>grp78</w:t>
      </w:r>
      <w:r>
        <w:rPr>
          <w:rFonts w:hint="eastAsia"/>
          <w:sz w:val="24"/>
        </w:rPr>
        <w:t>的</w:t>
      </w:r>
      <w:r>
        <w:rPr>
          <w:sz w:val="24"/>
        </w:rPr>
        <w:t>mRNA及GRP78蛋白的表达水平；添加Nar2.5组显著降低</w:t>
      </w:r>
      <w:r>
        <w:rPr>
          <w:i/>
          <w:iCs/>
          <w:sz w:val="24"/>
        </w:rPr>
        <w:t>ire1</w:t>
      </w:r>
      <w:r>
        <w:rPr>
          <w:sz w:val="24"/>
        </w:rPr>
        <w:t>、</w:t>
      </w:r>
      <w:r>
        <w:rPr>
          <w:rFonts w:hint="eastAsia"/>
          <w:i/>
          <w:iCs/>
          <w:sz w:val="24"/>
        </w:rPr>
        <w:t>xbp1</w:t>
      </w:r>
      <w:r>
        <w:rPr>
          <w:sz w:val="24"/>
        </w:rPr>
        <w:t>、</w:t>
      </w:r>
      <w:r>
        <w:rPr>
          <w:rFonts w:hint="eastAsia"/>
          <w:i/>
          <w:iCs/>
          <w:sz w:val="24"/>
        </w:rPr>
        <w:t>atf4</w:t>
      </w:r>
      <w:r>
        <w:rPr>
          <w:sz w:val="24"/>
        </w:rPr>
        <w:t>、</w:t>
      </w:r>
      <w:r>
        <w:rPr>
          <w:rFonts w:hint="eastAsia"/>
          <w:i/>
          <w:iCs/>
          <w:sz w:val="24"/>
        </w:rPr>
        <w:t>atf6</w:t>
      </w:r>
      <w:r>
        <w:rPr>
          <w:sz w:val="24"/>
        </w:rPr>
        <w:t>、</w:t>
      </w:r>
      <w:r>
        <w:rPr>
          <w:rFonts w:hint="eastAsia"/>
          <w:i/>
          <w:iCs/>
          <w:sz w:val="24"/>
        </w:rPr>
        <w:t>chop</w:t>
      </w:r>
      <w:r>
        <w:rPr>
          <w:sz w:val="24"/>
        </w:rPr>
        <w:t>和</w:t>
      </w:r>
      <w:r>
        <w:rPr>
          <w:i/>
          <w:iCs/>
          <w:sz w:val="24"/>
        </w:rPr>
        <w:t>grp78</w:t>
      </w:r>
      <w:r>
        <w:rPr>
          <w:sz w:val="24"/>
        </w:rPr>
        <w:t>的mRNA及GRP78蛋白的表达水平。与高脂组相比，添加Nar1.25和Nar2.</w:t>
      </w:r>
      <w:r>
        <w:rPr>
          <w:rFonts w:hint="eastAsia"/>
          <w:sz w:val="24"/>
        </w:rPr>
        <w:t>5显著降低</w:t>
      </w:r>
      <w:r>
        <w:rPr>
          <w:i/>
          <w:iCs/>
          <w:sz w:val="24"/>
        </w:rPr>
        <w:t>ire1</w:t>
      </w:r>
      <w:r>
        <w:rPr>
          <w:sz w:val="24"/>
        </w:rPr>
        <w:t>、</w:t>
      </w:r>
      <w:r>
        <w:rPr>
          <w:i/>
          <w:iCs/>
          <w:sz w:val="24"/>
        </w:rPr>
        <w:t>xbp1</w:t>
      </w:r>
      <w:r>
        <w:rPr>
          <w:sz w:val="24"/>
        </w:rPr>
        <w:t>、</w:t>
      </w:r>
      <w:r>
        <w:rPr>
          <w:i/>
          <w:iCs/>
          <w:sz w:val="24"/>
        </w:rPr>
        <w:t>elf2a</w:t>
      </w:r>
      <w:r>
        <w:rPr>
          <w:rFonts w:hint="eastAsia"/>
          <w:sz w:val="24"/>
        </w:rPr>
        <w:t>、</w:t>
      </w:r>
      <w:r>
        <w:rPr>
          <w:i/>
          <w:iCs/>
          <w:sz w:val="24"/>
        </w:rPr>
        <w:t>atf4</w:t>
      </w:r>
      <w:r>
        <w:rPr>
          <w:sz w:val="24"/>
        </w:rPr>
        <w:t>、</w:t>
      </w:r>
      <w:r>
        <w:rPr>
          <w:rFonts w:hint="eastAsia"/>
          <w:i/>
          <w:iCs/>
          <w:sz w:val="24"/>
        </w:rPr>
        <w:t>atf6</w:t>
      </w:r>
      <w:r>
        <w:rPr>
          <w:sz w:val="24"/>
        </w:rPr>
        <w:t>、</w:t>
      </w:r>
      <w:r>
        <w:rPr>
          <w:rFonts w:hint="eastAsia"/>
          <w:i/>
          <w:iCs/>
          <w:sz w:val="24"/>
        </w:rPr>
        <w:t>chop</w:t>
      </w:r>
      <w:r>
        <w:rPr>
          <w:sz w:val="24"/>
        </w:rPr>
        <w:t>、</w:t>
      </w:r>
      <w:r>
        <w:rPr>
          <w:rFonts w:hint="eastAsia"/>
          <w:i/>
          <w:iCs/>
          <w:sz w:val="24"/>
        </w:rPr>
        <w:t>grp78</w:t>
      </w:r>
      <w:r>
        <w:rPr>
          <w:sz w:val="24"/>
        </w:rPr>
        <w:t>的mRNA以及GRP78蛋白的表达水平。</w:t>
      </w:r>
    </w:p>
    <w:p w14:paraId="72252B0F">
      <w:pPr>
        <w:spacing w:line="360" w:lineRule="auto"/>
        <w:rPr>
          <w:sz w:val="24"/>
        </w:rPr>
      </w:pPr>
    </w:p>
    <w:p w14:paraId="16F1CE2C">
      <w:pPr>
        <w:spacing w:line="360" w:lineRule="auto"/>
        <w:rPr>
          <w:sz w:val="24"/>
        </w:rPr>
      </w:pPr>
      <w:r>
        <w:rPr>
          <w:sz w:val="24"/>
        </w:rPr>
        <w:t>3  讨论</w:t>
      </w:r>
    </w:p>
    <w:p w14:paraId="557F1ADE">
      <w:pPr>
        <w:spacing w:line="360" w:lineRule="auto"/>
        <w:rPr>
          <w:sz w:val="24"/>
        </w:rPr>
      </w:pPr>
      <w:r>
        <w:rPr>
          <w:sz w:val="24"/>
        </w:rPr>
        <w:t>3.1  柚皮苷对大口黑鲈肝脏组织学、血清指标和脂质代谢的影响</w:t>
      </w:r>
    </w:p>
    <w:p w14:paraId="083688EC">
      <w:pPr>
        <w:spacing w:line="360" w:lineRule="auto"/>
        <w:ind w:firstLine="480" w:firstLineChars="200"/>
        <w:rPr>
          <w:sz w:val="24"/>
        </w:rPr>
      </w:pPr>
      <w:r>
        <w:rPr>
          <w:sz w:val="24"/>
        </w:rPr>
        <w:t>高脂饲料在水产养殖中常用于促进鱼类快速生长和提高饲料效率。而长期使用高脂饲料可能导致肝脂质沉积，形成脂肪肝</w:t>
      </w:r>
      <w:r>
        <w:rPr>
          <w:sz w:val="24"/>
          <w:vertAlign w:val="superscript"/>
        </w:rPr>
        <w:t>[</w:t>
      </w:r>
      <w:r>
        <w:fldChar w:fldCharType="begin"/>
      </w:r>
      <w:r>
        <w:instrText xml:space="preserve"> HYPERLINK \l "bookmark30" </w:instrText>
      </w:r>
      <w:r>
        <w:fldChar w:fldCharType="separate"/>
      </w:r>
      <w:r>
        <w:rPr>
          <w:sz w:val="24"/>
          <w:vertAlign w:val="superscript"/>
        </w:rPr>
        <w:t>14</w:t>
      </w:r>
      <w:r>
        <w:rPr>
          <w:sz w:val="24"/>
          <w:vertAlign w:val="superscript"/>
        </w:rPr>
        <w:fldChar w:fldCharType="end"/>
      </w:r>
      <w:r>
        <w:rPr>
          <w:sz w:val="24"/>
          <w:vertAlign w:val="superscript"/>
        </w:rPr>
        <w:t>-</w:t>
      </w:r>
      <w:r>
        <w:fldChar w:fldCharType="begin"/>
      </w:r>
      <w:r>
        <w:instrText xml:space="preserve"> HYPERLINK \l "bookmark31" </w:instrText>
      </w:r>
      <w:r>
        <w:fldChar w:fldCharType="separate"/>
      </w:r>
      <w:r>
        <w:rPr>
          <w:sz w:val="24"/>
          <w:vertAlign w:val="superscript"/>
        </w:rPr>
        <w:t>15</w:t>
      </w:r>
      <w:r>
        <w:rPr>
          <w:sz w:val="24"/>
          <w:vertAlign w:val="superscript"/>
        </w:rPr>
        <w:fldChar w:fldCharType="end"/>
      </w:r>
      <w:r>
        <w:rPr>
          <w:sz w:val="24"/>
          <w:vertAlign w:val="superscript"/>
        </w:rPr>
        <w:t>]</w:t>
      </w:r>
      <w:r>
        <w:rPr>
          <w:sz w:val="24"/>
        </w:rPr>
        <w:t>，影响鱼类健康和生产性能</w:t>
      </w:r>
      <w:r>
        <w:rPr>
          <w:sz w:val="24"/>
          <w:vertAlign w:val="superscript"/>
        </w:rPr>
        <w:t>[</w:t>
      </w:r>
      <w:r>
        <w:fldChar w:fldCharType="begin"/>
      </w:r>
      <w:r>
        <w:instrText xml:space="preserve"> HYPERLINK \l "bookmark32" </w:instrText>
      </w:r>
      <w:r>
        <w:fldChar w:fldCharType="separate"/>
      </w:r>
      <w:r>
        <w:rPr>
          <w:sz w:val="24"/>
          <w:vertAlign w:val="superscript"/>
        </w:rPr>
        <w:t>16</w:t>
      </w:r>
      <w:r>
        <w:rPr>
          <w:sz w:val="24"/>
          <w:vertAlign w:val="superscript"/>
        </w:rPr>
        <w:fldChar w:fldCharType="end"/>
      </w:r>
      <w:r>
        <w:rPr>
          <w:sz w:val="24"/>
          <w:vertAlign w:val="superscript"/>
        </w:rPr>
        <w:t>-</w:t>
      </w:r>
      <w:r>
        <w:fldChar w:fldCharType="begin"/>
      </w:r>
      <w:r>
        <w:instrText xml:space="preserve"> HYPERLINK \l "bookmark33" </w:instrText>
      </w:r>
      <w:r>
        <w:fldChar w:fldCharType="separate"/>
      </w:r>
      <w:r>
        <w:rPr>
          <w:sz w:val="24"/>
          <w:vertAlign w:val="superscript"/>
        </w:rPr>
        <w:t>17</w:t>
      </w:r>
      <w:r>
        <w:rPr>
          <w:sz w:val="24"/>
          <w:vertAlign w:val="superscript"/>
        </w:rPr>
        <w:fldChar w:fldCharType="end"/>
      </w:r>
      <w:r>
        <w:rPr>
          <w:sz w:val="24"/>
          <w:vertAlign w:val="superscript"/>
        </w:rPr>
        <w:t>]</w:t>
      </w:r>
      <w:r>
        <w:rPr>
          <w:sz w:val="24"/>
        </w:rPr>
        <w:t>。本研究发现，长期饲喂HFD会导致肝脏组织损伤和脂滴积累，从而使血清中AST和ALT活性上升。这与已有研究结果一致，Wang等</w:t>
      </w:r>
      <w:r>
        <w:rPr>
          <w:sz w:val="24"/>
          <w:vertAlign w:val="superscript"/>
        </w:rPr>
        <w:t>[</w:t>
      </w:r>
      <w:r>
        <w:fldChar w:fldCharType="begin"/>
      </w:r>
      <w:r>
        <w:instrText xml:space="preserve"> HYPERLINK \l "bookmark34" </w:instrText>
      </w:r>
      <w:r>
        <w:fldChar w:fldCharType="separate"/>
      </w:r>
      <w:r>
        <w:rPr>
          <w:sz w:val="24"/>
          <w:vertAlign w:val="superscript"/>
        </w:rPr>
        <w:t>18</w:t>
      </w:r>
      <w:r>
        <w:rPr>
          <w:sz w:val="24"/>
          <w:vertAlign w:val="superscript"/>
        </w:rPr>
        <w:fldChar w:fldCharType="end"/>
      </w:r>
      <w:r>
        <w:rPr>
          <w:sz w:val="24"/>
          <w:vertAlign w:val="superscript"/>
        </w:rPr>
        <w:t>]</w:t>
      </w:r>
      <w:r>
        <w:rPr>
          <w:sz w:val="24"/>
        </w:rPr>
        <w:t>研究发现，长期高脂饲喂会导致斑马鱼肝脏损伤，血清中AST和ALT活性上升，肝细胞核发生侧移。Li等</w:t>
      </w:r>
      <w:r>
        <w:rPr>
          <w:sz w:val="24"/>
          <w:vertAlign w:val="superscript"/>
        </w:rPr>
        <w:t>[</w:t>
      </w:r>
      <w:r>
        <w:fldChar w:fldCharType="begin"/>
      </w:r>
      <w:r>
        <w:instrText xml:space="preserve"> HYPERLINK \l "bookmark35" </w:instrText>
      </w:r>
      <w:r>
        <w:fldChar w:fldCharType="separate"/>
      </w:r>
      <w:r>
        <w:rPr>
          <w:sz w:val="24"/>
          <w:vertAlign w:val="superscript"/>
        </w:rPr>
        <w:t>19</w:t>
      </w:r>
      <w:r>
        <w:rPr>
          <w:sz w:val="24"/>
          <w:vertAlign w:val="superscript"/>
        </w:rPr>
        <w:fldChar w:fldCharType="end"/>
      </w:r>
      <w:r>
        <w:rPr>
          <w:sz w:val="24"/>
          <w:vertAlign w:val="superscript"/>
        </w:rPr>
        <w:t>]</w:t>
      </w:r>
      <w:r>
        <w:rPr>
          <w:sz w:val="24"/>
        </w:rPr>
        <w:t>对高脂饲喂的草鱼</w:t>
      </w:r>
      <w:r>
        <w:rPr>
          <w:rFonts w:hint="eastAsia"/>
          <w:sz w:val="24"/>
        </w:rPr>
        <w:t>（</w:t>
      </w:r>
      <w:r>
        <w:rPr>
          <w:i/>
          <w:iCs/>
          <w:sz w:val="24"/>
        </w:rPr>
        <w:t>Ctenopharyngodon</w:t>
      </w:r>
      <w:r>
        <w:rPr>
          <w:rFonts w:hint="eastAsia"/>
          <w:i/>
          <w:iCs/>
          <w:sz w:val="24"/>
        </w:rPr>
        <w:t xml:space="preserve"> </w:t>
      </w:r>
      <w:r>
        <w:rPr>
          <w:i/>
          <w:iCs/>
          <w:sz w:val="24"/>
        </w:rPr>
        <w:t>idella</w:t>
      </w:r>
      <w:r>
        <w:rPr>
          <w:rFonts w:hint="eastAsia"/>
          <w:sz w:val="24"/>
        </w:rPr>
        <w:t>）研究</w:t>
      </w:r>
      <w:r>
        <w:rPr>
          <w:sz w:val="24"/>
        </w:rPr>
        <w:t>中显示，高脂</w:t>
      </w:r>
      <w:r>
        <w:rPr>
          <w:rFonts w:hint="eastAsia"/>
          <w:sz w:val="24"/>
        </w:rPr>
        <w:t>饲喂增加</w:t>
      </w:r>
      <w:r>
        <w:rPr>
          <w:sz w:val="24"/>
        </w:rPr>
        <w:t>TG含量</w:t>
      </w:r>
      <w:r>
        <w:rPr>
          <w:rFonts w:hint="eastAsia"/>
          <w:sz w:val="24"/>
        </w:rPr>
        <w:t>，</w:t>
      </w:r>
      <w:r>
        <w:rPr>
          <w:sz w:val="24"/>
        </w:rPr>
        <w:t>促进脂质合成过程，抑制脂质分解过程。Qian等</w:t>
      </w:r>
      <w:r>
        <w:rPr>
          <w:sz w:val="24"/>
          <w:vertAlign w:val="superscript"/>
        </w:rPr>
        <w:t>[</w:t>
      </w:r>
      <w:r>
        <w:fldChar w:fldCharType="begin"/>
      </w:r>
      <w:r>
        <w:instrText xml:space="preserve"> HYPERLINK \l "bookmark36" </w:instrText>
      </w:r>
      <w:r>
        <w:fldChar w:fldCharType="separate"/>
      </w:r>
      <w:r>
        <w:rPr>
          <w:sz w:val="24"/>
          <w:vertAlign w:val="superscript"/>
        </w:rPr>
        <w:t>20</w:t>
      </w:r>
      <w:r>
        <w:rPr>
          <w:sz w:val="24"/>
          <w:vertAlign w:val="superscript"/>
        </w:rPr>
        <w:fldChar w:fldCharType="end"/>
      </w:r>
      <w:r>
        <w:rPr>
          <w:sz w:val="24"/>
          <w:vertAlign w:val="superscript"/>
        </w:rPr>
        <w:t>]</w:t>
      </w:r>
      <w:r>
        <w:rPr>
          <w:sz w:val="24"/>
        </w:rPr>
        <w:t>研究表明，高脂饲喂吉富罗非鱼</w:t>
      </w:r>
      <w:r>
        <w:rPr>
          <w:rFonts w:hint="eastAsia"/>
          <w:sz w:val="24"/>
        </w:rPr>
        <w:t>（</w:t>
      </w:r>
      <w:r>
        <w:rPr>
          <w:sz w:val="24"/>
        </w:rPr>
        <w:t>GIFT</w:t>
      </w:r>
      <w:r>
        <w:rPr>
          <w:rFonts w:hint="eastAsia"/>
          <w:sz w:val="24"/>
        </w:rPr>
        <w:t>，</w:t>
      </w:r>
      <w:r>
        <w:rPr>
          <w:i/>
          <w:iCs/>
          <w:sz w:val="24"/>
        </w:rPr>
        <w:t>Oreochromis</w:t>
      </w:r>
      <w:r>
        <w:rPr>
          <w:rFonts w:hint="eastAsia"/>
          <w:i/>
          <w:iCs/>
          <w:sz w:val="24"/>
        </w:rPr>
        <w:t xml:space="preserve"> </w:t>
      </w:r>
      <w:r>
        <w:rPr>
          <w:i/>
          <w:iCs/>
          <w:sz w:val="24"/>
        </w:rPr>
        <w:t>niloticus</w:t>
      </w:r>
      <w:r>
        <w:rPr>
          <w:rFonts w:hint="eastAsia"/>
          <w:sz w:val="24"/>
        </w:rPr>
        <w:t>）</w:t>
      </w:r>
      <w:r>
        <w:rPr>
          <w:sz w:val="24"/>
        </w:rPr>
        <w:t>导致肝脏损伤和肝脏中脂滴积累，而添加Nar能缓解肝脏组织损伤和脂滴积累，降低血清中AST和ALT含量。Zhou等</w:t>
      </w:r>
      <w:r>
        <w:rPr>
          <w:sz w:val="24"/>
          <w:vertAlign w:val="superscript"/>
        </w:rPr>
        <w:t>[</w:t>
      </w:r>
      <w:r>
        <w:fldChar w:fldCharType="begin"/>
      </w:r>
      <w:r>
        <w:instrText xml:space="preserve"> HYPERLINK \l "bookmark37" </w:instrText>
      </w:r>
      <w:r>
        <w:fldChar w:fldCharType="separate"/>
      </w:r>
      <w:r>
        <w:rPr>
          <w:sz w:val="24"/>
          <w:vertAlign w:val="superscript"/>
        </w:rPr>
        <w:t>21</w:t>
      </w:r>
      <w:r>
        <w:rPr>
          <w:sz w:val="24"/>
          <w:vertAlign w:val="superscript"/>
        </w:rPr>
        <w:fldChar w:fldCharType="end"/>
      </w:r>
      <w:r>
        <w:rPr>
          <w:sz w:val="24"/>
          <w:vertAlign w:val="superscript"/>
        </w:rPr>
        <w:t>]</w:t>
      </w:r>
      <w:r>
        <w:rPr>
          <w:sz w:val="24"/>
        </w:rPr>
        <w:t>的研究同样表明，柚皮苷可以通过减少斑马鱼肝脏脂质沉积来降低酒精性脂肪肝损伤。Hassa等</w:t>
      </w:r>
      <w:r>
        <w:rPr>
          <w:sz w:val="24"/>
          <w:vertAlign w:val="superscript"/>
        </w:rPr>
        <w:t>[</w:t>
      </w:r>
      <w:r>
        <w:fldChar w:fldCharType="begin"/>
      </w:r>
      <w:r>
        <w:instrText xml:space="preserve"> HYPERLINK \l "bookmark38" </w:instrText>
      </w:r>
      <w:r>
        <w:fldChar w:fldCharType="separate"/>
      </w:r>
      <w:r>
        <w:rPr>
          <w:sz w:val="24"/>
          <w:vertAlign w:val="superscript"/>
        </w:rPr>
        <w:t>22</w:t>
      </w:r>
      <w:r>
        <w:rPr>
          <w:sz w:val="24"/>
          <w:vertAlign w:val="superscript"/>
        </w:rPr>
        <w:fldChar w:fldCharType="end"/>
      </w:r>
      <w:r>
        <w:rPr>
          <w:sz w:val="24"/>
          <w:vertAlign w:val="superscript"/>
        </w:rPr>
        <w:t>]</w:t>
      </w:r>
      <w:r>
        <w:rPr>
          <w:sz w:val="24"/>
        </w:rPr>
        <w:t>的研究表明，柚皮苷可缓解肝脏损伤，降低血清中AST和ALT含量。Wang等</w:t>
      </w:r>
      <w:r>
        <w:rPr>
          <w:sz w:val="24"/>
          <w:vertAlign w:val="superscript"/>
        </w:rPr>
        <w:t>[</w:t>
      </w:r>
      <w:r>
        <w:fldChar w:fldCharType="begin"/>
      </w:r>
      <w:r>
        <w:instrText xml:space="preserve"> HYPERLINK \l "bookmark39" </w:instrText>
      </w:r>
      <w:r>
        <w:fldChar w:fldCharType="separate"/>
      </w:r>
      <w:r>
        <w:rPr>
          <w:sz w:val="24"/>
          <w:vertAlign w:val="superscript"/>
        </w:rPr>
        <w:t>23</w:t>
      </w:r>
      <w:r>
        <w:rPr>
          <w:sz w:val="24"/>
          <w:vertAlign w:val="superscript"/>
        </w:rPr>
        <w:fldChar w:fldCharType="end"/>
      </w:r>
      <w:r>
        <w:rPr>
          <w:sz w:val="24"/>
          <w:vertAlign w:val="superscript"/>
        </w:rPr>
        <w:t>]</w:t>
      </w:r>
      <w:r>
        <w:rPr>
          <w:sz w:val="24"/>
        </w:rPr>
        <w:t>的研究表明，柚皮苷能通过促进脂肪分解和β氧化相关基因的表达来减少脂肪沉积。本实验结果表明，与对照组相比，HFD增加了肝脏组织中TG的含量和脂质合成，抑制了脂质分解。添加Nar1.25和Nar2.5降低了大口黑鲈肝脏TG含量和脂质合成，并缓解了HFD诱导的脂质分解的抑制。</w:t>
      </w:r>
    </w:p>
    <w:p w14:paraId="2F2F8A25">
      <w:pPr>
        <w:spacing w:line="360" w:lineRule="auto"/>
        <w:rPr>
          <w:sz w:val="24"/>
        </w:rPr>
      </w:pPr>
      <w:r>
        <w:rPr>
          <w:sz w:val="24"/>
        </w:rPr>
        <w:t>3.2  柚皮苷对大口黑鲈肝脏内质网应激的影响</w:t>
      </w:r>
    </w:p>
    <w:p w14:paraId="4DD38110">
      <w:pPr>
        <w:spacing w:line="360" w:lineRule="auto"/>
        <w:ind w:firstLine="480" w:firstLineChars="200"/>
        <w:rPr>
          <w:sz w:val="24"/>
        </w:rPr>
      </w:pPr>
      <w:r>
        <w:rPr>
          <w:sz w:val="24"/>
        </w:rPr>
        <w:t>内质网应激在脂质代谢中起关键作用，通过调节脂质合成、分解和储存影响代谢稳态</w:t>
      </w:r>
      <w:r>
        <w:rPr>
          <w:sz w:val="24"/>
          <w:vertAlign w:val="superscript"/>
        </w:rPr>
        <w:t>[</w:t>
      </w:r>
      <w:r>
        <w:fldChar w:fldCharType="begin"/>
      </w:r>
      <w:r>
        <w:instrText xml:space="preserve"> HYPERLINK \l "bookmark40" </w:instrText>
      </w:r>
      <w:r>
        <w:fldChar w:fldCharType="separate"/>
      </w:r>
      <w:r>
        <w:rPr>
          <w:sz w:val="24"/>
          <w:vertAlign w:val="superscript"/>
        </w:rPr>
        <w:t>24</w:t>
      </w:r>
      <w:r>
        <w:rPr>
          <w:sz w:val="24"/>
          <w:vertAlign w:val="superscript"/>
        </w:rPr>
        <w:fldChar w:fldCharType="end"/>
      </w:r>
      <w:r>
        <w:rPr>
          <w:sz w:val="24"/>
          <w:vertAlign w:val="superscript"/>
        </w:rPr>
        <w:t>-</w:t>
      </w:r>
      <w:r>
        <w:fldChar w:fldCharType="begin"/>
      </w:r>
      <w:r>
        <w:instrText xml:space="preserve"> HYPERLINK \l "bookmark41" </w:instrText>
      </w:r>
      <w:r>
        <w:fldChar w:fldCharType="separate"/>
      </w:r>
      <w:r>
        <w:rPr>
          <w:sz w:val="24"/>
          <w:vertAlign w:val="superscript"/>
        </w:rPr>
        <w:t>25</w:t>
      </w:r>
      <w:r>
        <w:rPr>
          <w:sz w:val="24"/>
          <w:vertAlign w:val="superscript"/>
        </w:rPr>
        <w:fldChar w:fldCharType="end"/>
      </w:r>
      <w:r>
        <w:rPr>
          <w:sz w:val="24"/>
          <w:vertAlign w:val="superscript"/>
        </w:rPr>
        <w:t>]</w:t>
      </w:r>
      <w:r>
        <w:rPr>
          <w:sz w:val="24"/>
        </w:rPr>
        <w:t>。在本研究中，实验通过透射电镜观测到HFD导致内质网发生肿胀，添加Nar2.5能有效缓解这种现象。Liu等</w:t>
      </w:r>
      <w:r>
        <w:rPr>
          <w:sz w:val="24"/>
          <w:vertAlign w:val="superscript"/>
        </w:rPr>
        <w:t>[</w:t>
      </w:r>
      <w:r>
        <w:fldChar w:fldCharType="begin"/>
      </w:r>
      <w:r>
        <w:instrText xml:space="preserve"> HYPERLINK \l "bookmark42" </w:instrText>
      </w:r>
      <w:r>
        <w:fldChar w:fldCharType="separate"/>
      </w:r>
      <w:r>
        <w:rPr>
          <w:sz w:val="24"/>
          <w:vertAlign w:val="superscript"/>
        </w:rPr>
        <w:t>26</w:t>
      </w:r>
      <w:r>
        <w:rPr>
          <w:sz w:val="24"/>
          <w:vertAlign w:val="superscript"/>
        </w:rPr>
        <w:fldChar w:fldCharType="end"/>
      </w:r>
      <w:r>
        <w:rPr>
          <w:sz w:val="24"/>
          <w:vertAlign w:val="superscript"/>
        </w:rPr>
        <w:t>]</w:t>
      </w:r>
      <w:r>
        <w:rPr>
          <w:sz w:val="24"/>
        </w:rPr>
        <w:t>研究同样显示</w:t>
      </w:r>
      <w:r>
        <w:rPr>
          <w:rFonts w:hint="eastAsia"/>
          <w:sz w:val="24"/>
        </w:rPr>
        <w:t>，柚</w:t>
      </w:r>
      <w:r>
        <w:rPr>
          <w:sz w:val="24"/>
        </w:rPr>
        <w:t>皮苷处理可改善小鼠肠道肝脏纤维化中内质网肿胀的现象。此外，HFD导致内质网应激UPR通路的相关基因mRNA表达增加，以及内质网应激标志物GRP78蛋白表达量上升。与对照组和高脂组相比，添加Nar1.25和Nar2.5降低了UPR通路相关基因的mRNA表达和内质网应激标志物GRP78蛋白表达量。这与之前的研究类似，Shangguan等</w:t>
      </w:r>
      <w:r>
        <w:rPr>
          <w:sz w:val="24"/>
          <w:vertAlign w:val="superscript"/>
        </w:rPr>
        <w:t>[</w:t>
      </w:r>
      <w:r>
        <w:fldChar w:fldCharType="begin"/>
      </w:r>
      <w:r>
        <w:instrText xml:space="preserve"> HYPERLINK \l "bookmark43" </w:instrText>
      </w:r>
      <w:r>
        <w:fldChar w:fldCharType="separate"/>
      </w:r>
      <w:r>
        <w:rPr>
          <w:sz w:val="24"/>
          <w:vertAlign w:val="superscript"/>
        </w:rPr>
        <w:t>27</w:t>
      </w:r>
      <w:r>
        <w:rPr>
          <w:sz w:val="24"/>
          <w:vertAlign w:val="superscript"/>
        </w:rPr>
        <w:fldChar w:fldCharType="end"/>
      </w:r>
      <w:r>
        <w:rPr>
          <w:sz w:val="24"/>
          <w:vertAlign w:val="superscript"/>
        </w:rPr>
        <w:t>]</w:t>
      </w:r>
      <w:r>
        <w:rPr>
          <w:sz w:val="24"/>
        </w:rPr>
        <w:t>研究中，柚皮苷降低了大鼠</w:t>
      </w:r>
      <w:r>
        <w:rPr>
          <w:rFonts w:hint="eastAsia"/>
          <w:sz w:val="24"/>
        </w:rPr>
        <w:t>（</w:t>
      </w:r>
      <w:r>
        <w:rPr>
          <w:i/>
          <w:iCs/>
          <w:sz w:val="24"/>
        </w:rPr>
        <w:t>Rattus</w:t>
      </w:r>
      <w:r>
        <w:rPr>
          <w:rFonts w:hint="eastAsia"/>
          <w:i/>
          <w:iCs/>
          <w:sz w:val="24"/>
        </w:rPr>
        <w:t xml:space="preserve"> </w:t>
      </w:r>
      <w:r>
        <w:rPr>
          <w:i/>
          <w:iCs/>
          <w:sz w:val="24"/>
        </w:rPr>
        <w:t>norvegicus</w:t>
      </w:r>
      <w:r>
        <w:rPr>
          <w:rFonts w:hint="eastAsia"/>
          <w:sz w:val="24"/>
        </w:rPr>
        <w:t>）</w:t>
      </w:r>
      <w:r>
        <w:rPr>
          <w:sz w:val="24"/>
        </w:rPr>
        <w:t>卵巢内质网应激中UPR通路相关基因mRNA表达和内质网应激</w:t>
      </w:r>
      <w:bookmarkStart w:id="24" w:name="bookmark8"/>
      <w:bookmarkEnd w:id="24"/>
      <w:r>
        <w:rPr>
          <w:sz w:val="24"/>
        </w:rPr>
        <w:t>标志物GRP78蛋白表达量。高脂饲料通过诱发内质网应激破坏内质网功能，导致脂质代谢紊乱和代谢疾病的发生。</w:t>
      </w:r>
    </w:p>
    <w:p w14:paraId="460B1190">
      <w:pPr>
        <w:spacing w:line="360" w:lineRule="auto"/>
        <w:rPr>
          <w:sz w:val="24"/>
        </w:rPr>
      </w:pPr>
      <w:r>
        <w:rPr>
          <w:sz w:val="24"/>
        </w:rPr>
        <w:t>4  结论</w:t>
      </w:r>
    </w:p>
    <w:p w14:paraId="31AD977B">
      <w:pPr>
        <w:spacing w:line="360" w:lineRule="auto"/>
        <w:ind w:firstLine="480" w:firstLineChars="200"/>
        <w:rPr>
          <w:sz w:val="24"/>
        </w:rPr>
      </w:pPr>
      <w:r>
        <w:rPr>
          <w:sz w:val="24"/>
        </w:rPr>
        <w:t>综上所述，HFD会导致肝脏细胞脂质积累，出现空泡化，损伤肝细胞结构，影响脂质代谢，诱导内质网应激，而植物提取物柚皮苷的添加能</w:t>
      </w:r>
      <w:bookmarkStart w:id="25" w:name="bookmark10"/>
      <w:bookmarkEnd w:id="25"/>
      <w:r>
        <w:rPr>
          <w:sz w:val="24"/>
        </w:rPr>
        <w:t>改善HFD导致的肝脏损伤和促进脂质代谢。柚皮苷作为一种天然植物提取物，在水产饲料开发领域展现出显著的应用潜力。本研究为大口黑鲈和其他鱼类饲料植物提取物研究工作提供了有价值</w:t>
      </w:r>
      <w:bookmarkStart w:id="26" w:name="bookmark11"/>
      <w:bookmarkEnd w:id="26"/>
      <w:r>
        <w:rPr>
          <w:sz w:val="24"/>
        </w:rPr>
        <w:t>的参考见解。</w:t>
      </w:r>
    </w:p>
    <w:p w14:paraId="6B991F2D">
      <w:pPr>
        <w:rPr>
          <w:sz w:val="24"/>
        </w:rPr>
      </w:pPr>
      <w:r>
        <w:rPr>
          <w:rFonts w:hint="eastAsia" w:ascii="宋体" w:hAnsi="宋体" w:cs="宋体"/>
          <w:sz w:val="24"/>
        </w:rPr>
        <w:t>参考文献：略</w:t>
      </w:r>
    </w:p>
    <w:p w14:paraId="6C4DE4DA">
      <w:pPr>
        <w:pStyle w:val="8"/>
        <w:spacing w:before="99" w:line="278" w:lineRule="auto"/>
        <w:ind w:right="244" w:firstLine="469"/>
        <w:jc w:val="right"/>
        <w:rPr>
          <w:rFonts w:hint="eastAsia" w:ascii="宋体" w:hAnsi="宋体" w:eastAsia="宋体" w:cs="宋体"/>
          <w:sz w:val="20"/>
          <w:szCs w:val="20"/>
          <w:lang w:eastAsia="zh-CN"/>
        </w:rPr>
      </w:pPr>
      <w:r>
        <w:rPr>
          <w:rFonts w:ascii="宋体" w:hAnsi="宋体" w:cs="宋体"/>
          <w:szCs w:val="21"/>
          <w:lang w:eastAsia="zh-CN"/>
        </w:rPr>
        <w:t>原文刊登在</w:t>
      </w:r>
      <w:r>
        <w:rPr>
          <w:rFonts w:eastAsia="宋体" w:cs="宋体"/>
          <w:lang w:eastAsia="zh-CN"/>
        </w:rPr>
        <w:t>《</w:t>
      </w:r>
      <w:r>
        <w:rPr>
          <w:rFonts w:hint="eastAsia" w:cs="宋体"/>
          <w:lang w:eastAsia="zh-CN"/>
        </w:rPr>
        <w:t>水产学报</w:t>
      </w:r>
      <w:r>
        <w:rPr>
          <w:rFonts w:eastAsia="宋体" w:cs="宋体"/>
          <w:lang w:eastAsia="zh-CN"/>
        </w:rPr>
        <w:t>》</w:t>
      </w:r>
      <w:r>
        <w:rPr>
          <w:rFonts w:hint="eastAsia" w:eastAsia="宋体" w:cs="宋体"/>
          <w:lang w:eastAsia="zh-CN"/>
        </w:rPr>
        <w:t>2026年第</w:t>
      </w:r>
      <w:r>
        <w:rPr>
          <w:rFonts w:hint="eastAsia" w:cs="宋体"/>
          <w:lang w:eastAsia="zh-CN"/>
        </w:rPr>
        <w:t>8</w:t>
      </w:r>
      <w:r>
        <w:rPr>
          <w:rFonts w:hint="eastAsia" w:eastAsia="宋体" w:cs="宋体"/>
          <w:lang w:eastAsia="zh-CN"/>
        </w:rPr>
        <w:t>期</w:t>
      </w:r>
    </w:p>
    <w:p w14:paraId="0351616E">
      <w:pPr>
        <w:spacing w:line="360" w:lineRule="auto"/>
        <w:ind w:right="1281"/>
        <w:outlineLvl w:val="0"/>
        <w:rPr>
          <w:rFonts w:eastAsia="黑体"/>
          <w:b/>
          <w:bCs/>
          <w:sz w:val="32"/>
          <w:szCs w:val="32"/>
          <w:bdr w:val="single" w:color="auto" w:sz="4" w:space="0"/>
        </w:rPr>
      </w:pPr>
    </w:p>
    <w:p w14:paraId="64137188">
      <w:pPr>
        <w:spacing w:line="360" w:lineRule="auto"/>
        <w:ind w:right="1281"/>
        <w:outlineLvl w:val="0"/>
        <w:rPr>
          <w:rFonts w:hint="eastAsia" w:ascii="黑体" w:hAnsi="黑体" w:eastAsia="黑体" w:cs="黑体"/>
          <w:b/>
          <w:bCs/>
          <w:sz w:val="32"/>
          <w:szCs w:val="32"/>
        </w:rPr>
      </w:pPr>
      <w:bookmarkStart w:id="27" w:name="_Toc239087999"/>
      <w:r>
        <w:rPr>
          <w:rFonts w:eastAsia="黑体"/>
          <w:b/>
          <w:bCs/>
          <w:sz w:val="32"/>
          <w:szCs w:val="32"/>
          <w:bdr w:val="single" w:color="auto" w:sz="4" w:space="0"/>
        </w:rPr>
        <w:t>科学研究</w:t>
      </w:r>
      <w:bookmarkEnd w:id="22"/>
      <w:bookmarkEnd w:id="27"/>
      <w:bookmarkStart w:id="28" w:name="_Toc225807404"/>
      <w:bookmarkStart w:id="29" w:name="_Toc221758911"/>
    </w:p>
    <w:p w14:paraId="58F74D91">
      <w:pPr>
        <w:spacing w:line="360" w:lineRule="auto"/>
        <w:jc w:val="center"/>
        <w:outlineLvl w:val="1"/>
        <w:rPr>
          <w:rFonts w:eastAsia="黑体"/>
          <w:b/>
          <w:bCs/>
          <w:sz w:val="32"/>
          <w:szCs w:val="32"/>
        </w:rPr>
      </w:pPr>
      <w:bookmarkStart w:id="30" w:name="_Toc239088000"/>
      <w:r>
        <w:rPr>
          <w:rFonts w:hint="eastAsia" w:ascii="黑体" w:hAnsi="黑体" w:eastAsia="黑体" w:cs="黑体"/>
          <w:b/>
          <w:bCs/>
          <w:sz w:val="32"/>
          <w:szCs w:val="32"/>
        </w:rPr>
        <w:t>小球藻替代豆粕对框鳞镜鲤生长性能、肌肉品质及肠道菌群的影响</w:t>
      </w:r>
      <w:bookmarkEnd w:id="30"/>
    </w:p>
    <w:p w14:paraId="22679862">
      <w:pPr>
        <w:jc w:val="center"/>
        <w:rPr>
          <w:rFonts w:cs="宋体"/>
          <w:szCs w:val="21"/>
        </w:rPr>
      </w:pPr>
      <w:r>
        <w:rPr>
          <w:rFonts w:hint="eastAsia" w:cs="宋体"/>
          <w:szCs w:val="21"/>
        </w:rPr>
        <w:t>唐黎 贾璐瑶  孙健  吉红  于海波*  李汉东*</w:t>
      </w:r>
    </w:p>
    <w:p w14:paraId="7B4D9FDF">
      <w:pPr>
        <w:jc w:val="center"/>
        <w:rPr>
          <w:rFonts w:ascii="Arial"/>
        </w:rPr>
      </w:pPr>
      <w:r>
        <w:rPr>
          <w:rFonts w:hint="eastAsia" w:cs="宋体"/>
          <w:szCs w:val="21"/>
        </w:rPr>
        <w:t>（西北农林科技大学动物科技学院, 杨凌 712100）</w:t>
      </w:r>
    </w:p>
    <w:p w14:paraId="6BFB17A9">
      <w:pPr>
        <w:pStyle w:val="8"/>
        <w:spacing w:before="63" w:line="280" w:lineRule="auto"/>
        <w:ind w:right="314"/>
        <w:jc w:val="both"/>
        <w:rPr>
          <w:rFonts w:eastAsia="宋体"/>
          <w:kern w:val="2"/>
          <w:sz w:val="21"/>
          <w:szCs w:val="24"/>
          <w:lang w:eastAsia="zh-CN" w:bidi="ar-SA"/>
        </w:rPr>
      </w:pPr>
      <w:r>
        <w:rPr>
          <w:rFonts w:hint="eastAsia" w:eastAsia="宋体"/>
          <w:b/>
          <w:bCs/>
          <w:kern w:val="2"/>
          <w:sz w:val="21"/>
          <w:szCs w:val="24"/>
          <w:lang w:eastAsia="zh-CN" w:bidi="ar-SA"/>
        </w:rPr>
        <w:t>摘要：</w:t>
      </w:r>
      <w:r>
        <w:rPr>
          <w:rFonts w:hint="eastAsia" w:eastAsia="宋体"/>
          <w:kern w:val="2"/>
          <w:sz w:val="21"/>
          <w:szCs w:val="24"/>
          <w:lang w:eastAsia="zh-CN" w:bidi="ar-SA"/>
        </w:rPr>
        <w:t>为探究小球藻替代饲料豆粕对框鳞镜鲤生长性能、肌肉品质及肠道菌群的影响, 用小球藻分别替代饲料中0%、25%、50%、75%和100%的豆粕，配制了5种等氮等脂饲料，分别命名为CV0（对照组）、CV25、CV50、CV75和CV100，并在水泥池网箱中，饲喂初始体重为（20.00±0.01）g的框鳞镜鲤60d。研究结果表明，与对照组相比，CV50和CV75组鱼体的末重，CV50、CV75和CV100组鱼体增重率，CV25、CV50、CV75和CV100组鱼体特定生长率和脂肪沉积率，以及CV25、CV50和CV75组鱼体的蛋白沉积率均显著提高（</w:t>
      </w:r>
      <w:r>
        <w:rPr>
          <w:rFonts w:hint="eastAsia" w:eastAsia="宋体"/>
          <w:i/>
          <w:iCs/>
          <w:kern w:val="2"/>
          <w:sz w:val="21"/>
          <w:szCs w:val="24"/>
          <w:lang w:eastAsia="zh-CN" w:bidi="ar-SA"/>
        </w:rPr>
        <w:t>P</w:t>
      </w:r>
      <w:r>
        <w:rPr>
          <w:rFonts w:hint="eastAsia" w:eastAsia="宋体"/>
          <w:kern w:val="2"/>
          <w:sz w:val="21"/>
          <w:szCs w:val="24"/>
          <w:lang w:eastAsia="zh-CN" w:bidi="ar-SA"/>
        </w:rPr>
        <w:t>&lt;0.05）。CV50组鱼体肠道的</w:t>
      </w:r>
      <w:r>
        <w:rPr>
          <w:rFonts w:eastAsia="宋体"/>
          <w:kern w:val="2"/>
          <w:sz w:val="21"/>
          <w:szCs w:val="24"/>
          <w:lang w:eastAsia="zh-CN" w:bidi="ar-SA"/>
        </w:rPr>
        <w:t>α</w:t>
      </w:r>
      <w:r>
        <w:rPr>
          <w:rFonts w:hint="eastAsia" w:eastAsia="宋体"/>
          <w:kern w:val="2"/>
          <w:sz w:val="21"/>
          <w:szCs w:val="24"/>
          <w:lang w:eastAsia="zh-CN" w:bidi="ar-SA"/>
        </w:rPr>
        <w:t>-淀粉酶、胰蛋白酶和脂肪酶活性显著高于对照组（</w:t>
      </w:r>
      <w:r>
        <w:rPr>
          <w:rFonts w:hint="eastAsia" w:eastAsia="宋体"/>
          <w:i/>
          <w:iCs/>
          <w:kern w:val="2"/>
          <w:sz w:val="21"/>
          <w:szCs w:val="24"/>
          <w:lang w:eastAsia="zh-CN" w:bidi="ar-SA"/>
        </w:rPr>
        <w:t>P</w:t>
      </w:r>
      <w:r>
        <w:rPr>
          <w:rFonts w:hint="eastAsia" w:eastAsia="宋体"/>
          <w:kern w:val="2"/>
          <w:sz w:val="21"/>
          <w:szCs w:val="24"/>
          <w:lang w:eastAsia="zh-CN" w:bidi="ar-SA"/>
        </w:rPr>
        <w:t>&lt;0.05）；同时，CV25和CV50组鱼体肠道绒毛高度和肌层厚度也显著提高（</w:t>
      </w:r>
      <w:r>
        <w:rPr>
          <w:rFonts w:hint="eastAsia" w:eastAsia="宋体"/>
          <w:i/>
          <w:iCs/>
          <w:kern w:val="2"/>
          <w:sz w:val="21"/>
          <w:szCs w:val="24"/>
          <w:lang w:eastAsia="zh-CN" w:bidi="ar-SA"/>
        </w:rPr>
        <w:t>P</w:t>
      </w:r>
      <w:r>
        <w:rPr>
          <w:rFonts w:hint="eastAsia" w:eastAsia="宋体"/>
          <w:kern w:val="2"/>
          <w:sz w:val="21"/>
          <w:szCs w:val="24"/>
          <w:lang w:eastAsia="zh-CN" w:bidi="ar-SA"/>
        </w:rPr>
        <w:t>&lt;0.05）。小球藻替代饲料中50%的豆粕，可显著提升肝脏和肠道T-AOC水平和SOD活性（</w:t>
      </w:r>
      <w:r>
        <w:rPr>
          <w:rFonts w:hint="eastAsia" w:eastAsia="宋体"/>
          <w:i/>
          <w:iCs/>
          <w:kern w:val="2"/>
          <w:sz w:val="21"/>
          <w:szCs w:val="24"/>
          <w:lang w:eastAsia="zh-CN" w:bidi="ar-SA"/>
        </w:rPr>
        <w:t>P</w:t>
      </w:r>
      <w:r>
        <w:rPr>
          <w:rFonts w:hint="eastAsia" w:eastAsia="宋体"/>
          <w:kern w:val="2"/>
          <w:sz w:val="21"/>
          <w:szCs w:val="24"/>
          <w:lang w:eastAsia="zh-CN" w:bidi="ar-SA"/>
        </w:rPr>
        <w:t>&lt;0.05）, 也显著降低了肝脏MDA含量（</w:t>
      </w:r>
      <w:r>
        <w:rPr>
          <w:rFonts w:hint="eastAsia" w:eastAsia="宋体"/>
          <w:i/>
          <w:iCs/>
          <w:kern w:val="2"/>
          <w:sz w:val="21"/>
          <w:szCs w:val="24"/>
          <w:lang w:eastAsia="zh-CN" w:bidi="ar-SA"/>
        </w:rPr>
        <w:t>P</w:t>
      </w:r>
      <w:r>
        <w:rPr>
          <w:rFonts w:hint="eastAsia" w:eastAsia="宋体"/>
          <w:kern w:val="2"/>
          <w:sz w:val="21"/>
          <w:szCs w:val="24"/>
          <w:lang w:eastAsia="zh-CN" w:bidi="ar-SA"/>
        </w:rPr>
        <w:t>&lt;0.05）。CV25和CV50处理组肠道CAT活力显著升高（</w:t>
      </w:r>
      <w:r>
        <w:rPr>
          <w:rFonts w:hint="eastAsia" w:eastAsia="宋体"/>
          <w:i/>
          <w:iCs/>
          <w:kern w:val="2"/>
          <w:sz w:val="21"/>
          <w:szCs w:val="24"/>
          <w:lang w:eastAsia="zh-CN" w:bidi="ar-SA"/>
        </w:rPr>
        <w:t>P</w:t>
      </w:r>
      <w:r>
        <w:rPr>
          <w:rFonts w:hint="eastAsia" w:eastAsia="宋体"/>
          <w:kern w:val="2"/>
          <w:sz w:val="21"/>
          <w:szCs w:val="24"/>
          <w:lang w:eastAsia="zh-CN" w:bidi="ar-SA"/>
        </w:rPr>
        <w:t>&lt;0.05）。与对照组相比, CV50组血清碱性磷酸酶含量显著升高，而血清谷丙转氨酶和谷草转氨酶含量显著降低（</w:t>
      </w:r>
      <w:r>
        <w:rPr>
          <w:rFonts w:hint="eastAsia" w:eastAsia="宋体"/>
          <w:i/>
          <w:iCs/>
          <w:kern w:val="2"/>
          <w:sz w:val="21"/>
          <w:szCs w:val="24"/>
          <w:lang w:eastAsia="zh-CN" w:bidi="ar-SA"/>
        </w:rPr>
        <w:t>P</w:t>
      </w:r>
      <w:r>
        <w:rPr>
          <w:rFonts w:hint="eastAsia" w:eastAsia="宋体"/>
          <w:kern w:val="2"/>
          <w:sz w:val="21"/>
          <w:szCs w:val="24"/>
          <w:lang w:eastAsia="zh-CN" w:bidi="ar-SA"/>
        </w:rPr>
        <w:t>&lt;0.05）； CV100组鱼体的肝脏和肾脏组织表现出病理损伤。在肌肉品质方面，小球藻替代50%豆粕可通过提高全鱼和肌肉的粗蛋白、粗脂肪含量，以及肌肉NEAA、EAA和PUFA含量，来提升鱼体的营养价值（</w:t>
      </w:r>
      <w:r>
        <w:rPr>
          <w:rFonts w:hint="eastAsia" w:eastAsia="宋体"/>
          <w:i/>
          <w:iCs/>
          <w:kern w:val="2"/>
          <w:sz w:val="21"/>
          <w:szCs w:val="24"/>
          <w:lang w:eastAsia="zh-CN" w:bidi="ar-SA"/>
        </w:rPr>
        <w:t>P</w:t>
      </w:r>
      <w:r>
        <w:rPr>
          <w:rFonts w:hint="eastAsia" w:eastAsia="宋体"/>
          <w:kern w:val="2"/>
          <w:sz w:val="21"/>
          <w:szCs w:val="24"/>
          <w:lang w:eastAsia="zh-CN" w:bidi="ar-SA"/>
        </w:rPr>
        <w:t>&lt;0.05）。在肌肉质构特性主成分分析中，CV50处理组肌肉质构特性明显优于其他处理组, 表明小球藻替代50%豆粕可提升肌肉质构特性。此外，小球藻替代50%、75%和100%的豆粕，可提高肌肉红度和黄度（</w:t>
      </w:r>
      <w:r>
        <w:rPr>
          <w:rFonts w:hint="eastAsia" w:eastAsia="宋体"/>
          <w:i/>
          <w:iCs/>
          <w:kern w:val="2"/>
          <w:sz w:val="21"/>
          <w:szCs w:val="24"/>
          <w:lang w:eastAsia="zh-CN" w:bidi="ar-SA"/>
        </w:rPr>
        <w:t>P</w:t>
      </w:r>
      <w:r>
        <w:rPr>
          <w:rFonts w:hint="eastAsia" w:eastAsia="宋体"/>
          <w:kern w:val="2"/>
          <w:sz w:val="21"/>
          <w:szCs w:val="24"/>
          <w:lang w:eastAsia="zh-CN" w:bidi="ar-SA"/>
        </w:rPr>
        <w:t>&lt;0.05）。小球藻替代50%豆粕，增加了鱼体肠道中变形菌门、疣微菌门等优势菌群的相对丰度。基于生长性能的二次回归分析表明，小球藻替代豆粕的最适水平为58.14%—70.54%。综上，小球藻完全替代豆粕对框鳞镜鲤的生长性能无负面影响，但会造成肝脏和肾脏组织损伤；小球藻替代适量豆粕则会促进框鳞镜鲤生长，提升鱼体的健康状况和肌肉品质，改善肠道菌群结构，而小球藻替代豆粕的最适水平为58.14%—70.54%。</w:t>
      </w:r>
    </w:p>
    <w:p w14:paraId="1AC78CBB">
      <w:pPr>
        <w:pStyle w:val="8"/>
        <w:spacing w:before="62" w:line="212" w:lineRule="auto"/>
        <w:rPr>
          <w:sz w:val="19"/>
          <w:szCs w:val="19"/>
          <w:lang w:eastAsia="zh-CN"/>
        </w:rPr>
      </w:pPr>
      <w:r>
        <w:rPr>
          <w:rFonts w:hint="eastAsia" w:eastAsia="宋体"/>
          <w:b/>
          <w:bCs/>
          <w:kern w:val="2"/>
          <w:sz w:val="21"/>
          <w:szCs w:val="24"/>
          <w:lang w:eastAsia="zh-CN" w:bidi="ar-SA"/>
        </w:rPr>
        <w:t xml:space="preserve">关键词： </w:t>
      </w:r>
      <w:r>
        <w:rPr>
          <w:spacing w:val="-1"/>
          <w:sz w:val="19"/>
          <w:szCs w:val="19"/>
          <w:lang w:eastAsia="zh-CN"/>
        </w:rPr>
        <w:t>豆粕</w:t>
      </w:r>
      <w:r>
        <w:rPr>
          <w:rFonts w:hint="eastAsia" w:eastAsia="宋体"/>
          <w:spacing w:val="-1"/>
          <w:sz w:val="19"/>
          <w:szCs w:val="19"/>
          <w:lang w:eastAsia="zh-CN"/>
        </w:rPr>
        <w:t>；</w:t>
      </w:r>
      <w:r>
        <w:rPr>
          <w:spacing w:val="-1"/>
          <w:sz w:val="19"/>
          <w:szCs w:val="19"/>
          <w:lang w:eastAsia="zh-CN"/>
        </w:rPr>
        <w:t xml:space="preserve"> 小球藻</w:t>
      </w:r>
      <w:r>
        <w:rPr>
          <w:rFonts w:hint="eastAsia" w:eastAsia="宋体"/>
          <w:spacing w:val="-1"/>
          <w:sz w:val="19"/>
          <w:szCs w:val="19"/>
          <w:lang w:eastAsia="zh-CN"/>
        </w:rPr>
        <w:t>；</w:t>
      </w:r>
      <w:r>
        <w:rPr>
          <w:spacing w:val="-1"/>
          <w:sz w:val="19"/>
          <w:szCs w:val="19"/>
          <w:lang w:eastAsia="zh-CN"/>
        </w:rPr>
        <w:t xml:space="preserve"> 新型蛋白源</w:t>
      </w:r>
      <w:r>
        <w:rPr>
          <w:rFonts w:hint="eastAsia" w:eastAsia="宋体"/>
          <w:spacing w:val="-1"/>
          <w:sz w:val="19"/>
          <w:szCs w:val="19"/>
          <w:lang w:eastAsia="zh-CN"/>
        </w:rPr>
        <w:t>；</w:t>
      </w:r>
      <w:r>
        <w:rPr>
          <w:spacing w:val="-1"/>
          <w:sz w:val="19"/>
          <w:szCs w:val="19"/>
          <w:lang w:eastAsia="zh-CN"/>
        </w:rPr>
        <w:t xml:space="preserve"> 生长性能</w:t>
      </w:r>
      <w:r>
        <w:rPr>
          <w:rFonts w:hint="eastAsia" w:eastAsia="宋体"/>
          <w:spacing w:val="-1"/>
          <w:sz w:val="19"/>
          <w:szCs w:val="19"/>
          <w:lang w:eastAsia="zh-CN"/>
        </w:rPr>
        <w:t>；</w:t>
      </w:r>
      <w:r>
        <w:rPr>
          <w:spacing w:val="5"/>
          <w:sz w:val="19"/>
          <w:szCs w:val="19"/>
          <w:lang w:eastAsia="zh-CN"/>
        </w:rPr>
        <w:t xml:space="preserve"> </w:t>
      </w:r>
      <w:r>
        <w:rPr>
          <w:spacing w:val="-1"/>
          <w:sz w:val="19"/>
          <w:szCs w:val="19"/>
          <w:lang w:eastAsia="zh-CN"/>
        </w:rPr>
        <w:t>肌肉品质</w:t>
      </w:r>
      <w:r>
        <w:rPr>
          <w:rFonts w:hint="eastAsia" w:eastAsia="宋体"/>
          <w:spacing w:val="-1"/>
          <w:sz w:val="19"/>
          <w:szCs w:val="19"/>
          <w:lang w:eastAsia="zh-CN"/>
        </w:rPr>
        <w:t>；</w:t>
      </w:r>
      <w:r>
        <w:rPr>
          <w:spacing w:val="3"/>
          <w:sz w:val="19"/>
          <w:szCs w:val="19"/>
          <w:lang w:eastAsia="zh-CN"/>
        </w:rPr>
        <w:t xml:space="preserve"> </w:t>
      </w:r>
      <w:r>
        <w:rPr>
          <w:spacing w:val="-1"/>
          <w:sz w:val="19"/>
          <w:szCs w:val="19"/>
          <w:lang w:eastAsia="zh-CN"/>
        </w:rPr>
        <w:t>肠道菌群</w:t>
      </w:r>
      <w:r>
        <w:rPr>
          <w:rFonts w:hint="eastAsia" w:eastAsia="宋体"/>
          <w:spacing w:val="-1"/>
          <w:sz w:val="19"/>
          <w:szCs w:val="19"/>
          <w:lang w:eastAsia="zh-CN"/>
        </w:rPr>
        <w:t>；</w:t>
      </w:r>
      <w:r>
        <w:rPr>
          <w:spacing w:val="2"/>
          <w:sz w:val="19"/>
          <w:szCs w:val="19"/>
          <w:lang w:eastAsia="zh-CN"/>
        </w:rPr>
        <w:t xml:space="preserve"> </w:t>
      </w:r>
      <w:r>
        <w:rPr>
          <w:spacing w:val="-1"/>
          <w:sz w:val="19"/>
          <w:szCs w:val="19"/>
          <w:lang w:eastAsia="zh-CN"/>
        </w:rPr>
        <w:t>框鳞镜鲤</w:t>
      </w:r>
    </w:p>
    <w:p w14:paraId="746EAFC8">
      <w:pPr>
        <w:jc w:val="center"/>
        <w:rPr>
          <w:rFonts w:ascii="Arial"/>
        </w:rPr>
      </w:pPr>
      <w:r>
        <w:rPr>
          <w:b/>
          <w:bCs/>
          <w:sz w:val="24"/>
        </w:rPr>
        <w:t xml:space="preserve">Dietary soybean meal with </w:t>
      </w:r>
      <w:r>
        <w:rPr>
          <w:rFonts w:hint="eastAsia"/>
          <w:b/>
          <w:bCs/>
          <w:sz w:val="24"/>
        </w:rPr>
        <w:t>chlorella</w:t>
      </w:r>
      <w:r>
        <w:rPr>
          <w:b/>
          <w:bCs/>
          <w:sz w:val="24"/>
        </w:rPr>
        <w:t xml:space="preserve"> on growth performance, muscle quality, and intestinal flora of mirror carp</w:t>
      </w:r>
      <w:r>
        <w:rPr>
          <w:rFonts w:hint="eastAsia"/>
          <w:b/>
          <w:bCs/>
          <w:sz w:val="24"/>
        </w:rPr>
        <w:t xml:space="preserve"> </w:t>
      </w:r>
      <w:r>
        <w:rPr>
          <w:b/>
          <w:bCs/>
          <w:sz w:val="24"/>
        </w:rPr>
        <w:t>(</w:t>
      </w:r>
      <w:r>
        <w:rPr>
          <w:b/>
          <w:bCs/>
          <w:i/>
          <w:iCs/>
          <w:sz w:val="24"/>
        </w:rPr>
        <w:t xml:space="preserve">CYPRINUS CARPIO </w:t>
      </w:r>
      <w:r>
        <w:rPr>
          <w:b/>
          <w:bCs/>
          <w:sz w:val="24"/>
        </w:rPr>
        <w:t>VAR.</w:t>
      </w:r>
      <w:r>
        <w:rPr>
          <w:b/>
          <w:bCs/>
          <w:i/>
          <w:iCs/>
          <w:sz w:val="24"/>
        </w:rPr>
        <w:t xml:space="preserve"> SPECULARIS</w:t>
      </w:r>
      <w:r>
        <w:rPr>
          <w:rFonts w:hint="eastAsia"/>
          <w:b/>
          <w:bCs/>
          <w:sz w:val="24"/>
        </w:rPr>
        <w:t>）</w:t>
      </w:r>
    </w:p>
    <w:p w14:paraId="555A814B">
      <w:pPr>
        <w:spacing w:before="58" w:line="262" w:lineRule="exact"/>
        <w:ind w:left="1848"/>
        <w:rPr>
          <w:rFonts w:eastAsia="Times New Roman"/>
          <w:sz w:val="20"/>
          <w:szCs w:val="20"/>
        </w:rPr>
      </w:pPr>
      <w:r>
        <w:rPr>
          <w:rFonts w:eastAsia="Times New Roman"/>
          <w:position w:val="3"/>
          <w:sz w:val="20"/>
          <w:szCs w:val="20"/>
        </w:rPr>
        <w:t>Tang Li, Jia Lu-Yao,</w:t>
      </w:r>
      <w:r>
        <w:rPr>
          <w:rFonts w:eastAsia="Times New Roman"/>
          <w:spacing w:val="12"/>
          <w:w w:val="101"/>
          <w:position w:val="3"/>
          <w:sz w:val="20"/>
          <w:szCs w:val="20"/>
        </w:rPr>
        <w:t xml:space="preserve"> </w:t>
      </w:r>
      <w:r>
        <w:rPr>
          <w:rFonts w:eastAsia="Times New Roman"/>
          <w:position w:val="3"/>
          <w:sz w:val="20"/>
          <w:szCs w:val="20"/>
        </w:rPr>
        <w:t>Sun Jian, Ji Hong</w:t>
      </w:r>
      <w:r>
        <w:rPr>
          <w:rFonts w:eastAsia="Times New Roman"/>
          <w:spacing w:val="-1"/>
          <w:position w:val="3"/>
          <w:sz w:val="20"/>
          <w:szCs w:val="20"/>
        </w:rPr>
        <w:t>, Yu Hai-Bo and Li</w:t>
      </w:r>
      <w:r>
        <w:rPr>
          <w:rFonts w:eastAsia="Times New Roman"/>
          <w:spacing w:val="3"/>
          <w:position w:val="3"/>
          <w:sz w:val="20"/>
          <w:szCs w:val="20"/>
        </w:rPr>
        <w:t xml:space="preserve"> </w:t>
      </w:r>
      <w:r>
        <w:rPr>
          <w:rFonts w:eastAsia="Times New Roman"/>
          <w:spacing w:val="-1"/>
          <w:position w:val="3"/>
          <w:sz w:val="20"/>
          <w:szCs w:val="20"/>
        </w:rPr>
        <w:t>Han-Dong</w:t>
      </w:r>
    </w:p>
    <w:p w14:paraId="0C1EFAFB">
      <w:pPr>
        <w:spacing w:before="78" w:line="239" w:lineRule="exact"/>
        <w:ind w:left="1228"/>
        <w:rPr>
          <w:rFonts w:ascii="Arial"/>
        </w:rPr>
      </w:pPr>
      <w:r>
        <w:rPr>
          <w:rFonts w:eastAsia="Times New Roman"/>
          <w:position w:val="3"/>
          <w:sz w:val="18"/>
          <w:szCs w:val="18"/>
        </w:rPr>
        <w:t>(</w:t>
      </w:r>
      <w:r>
        <w:rPr>
          <w:rFonts w:eastAsia="Times New Roman"/>
          <w:i/>
          <w:iCs/>
          <w:position w:val="3"/>
          <w:sz w:val="18"/>
          <w:szCs w:val="18"/>
        </w:rPr>
        <w:t>College of</w:t>
      </w:r>
      <w:r>
        <w:rPr>
          <w:rFonts w:eastAsia="Times New Roman"/>
          <w:i/>
          <w:iCs/>
          <w:spacing w:val="-30"/>
          <w:position w:val="3"/>
          <w:sz w:val="18"/>
          <w:szCs w:val="18"/>
        </w:rPr>
        <w:t xml:space="preserve"> </w:t>
      </w:r>
      <w:r>
        <w:rPr>
          <w:rFonts w:eastAsia="Times New Roman"/>
          <w:i/>
          <w:iCs/>
          <w:position w:val="3"/>
          <w:sz w:val="18"/>
          <w:szCs w:val="18"/>
        </w:rPr>
        <w:t>Animal Science and Technology</w:t>
      </w:r>
      <w:r>
        <w:rPr>
          <w:rFonts w:eastAsia="Times New Roman"/>
          <w:position w:val="3"/>
          <w:sz w:val="18"/>
          <w:szCs w:val="18"/>
        </w:rPr>
        <w:t xml:space="preserve">, </w:t>
      </w:r>
      <w:r>
        <w:rPr>
          <w:rFonts w:eastAsia="Times New Roman"/>
          <w:i/>
          <w:iCs/>
          <w:position w:val="3"/>
          <w:sz w:val="18"/>
          <w:szCs w:val="18"/>
        </w:rPr>
        <w:t>Northwest</w:t>
      </w:r>
      <w:r>
        <w:rPr>
          <w:rFonts w:eastAsia="Times New Roman"/>
          <w:i/>
          <w:iCs/>
          <w:spacing w:val="-13"/>
          <w:position w:val="3"/>
          <w:sz w:val="18"/>
          <w:szCs w:val="18"/>
        </w:rPr>
        <w:t xml:space="preserve"> </w:t>
      </w:r>
      <w:r>
        <w:rPr>
          <w:rFonts w:eastAsia="Times New Roman"/>
          <w:i/>
          <w:iCs/>
          <w:position w:val="3"/>
          <w:sz w:val="18"/>
          <w:szCs w:val="18"/>
        </w:rPr>
        <w:t xml:space="preserve">A </w:t>
      </w:r>
      <w:r>
        <w:rPr>
          <w:rFonts w:eastAsia="Times New Roman"/>
          <w:position w:val="3"/>
          <w:sz w:val="18"/>
          <w:szCs w:val="18"/>
        </w:rPr>
        <w:t xml:space="preserve">&amp; </w:t>
      </w:r>
      <w:r>
        <w:rPr>
          <w:rFonts w:eastAsia="Times New Roman"/>
          <w:i/>
          <w:iCs/>
          <w:position w:val="3"/>
          <w:sz w:val="18"/>
          <w:szCs w:val="18"/>
        </w:rPr>
        <w:t>F University</w:t>
      </w:r>
      <w:r>
        <w:rPr>
          <w:rFonts w:eastAsia="Times New Roman"/>
          <w:position w:val="3"/>
          <w:sz w:val="18"/>
          <w:szCs w:val="18"/>
        </w:rPr>
        <w:t>,</w:t>
      </w:r>
      <w:r>
        <w:rPr>
          <w:rFonts w:eastAsia="Times New Roman"/>
          <w:spacing w:val="16"/>
          <w:w w:val="101"/>
          <w:position w:val="3"/>
          <w:sz w:val="18"/>
          <w:szCs w:val="18"/>
        </w:rPr>
        <w:t xml:space="preserve"> </w:t>
      </w:r>
      <w:r>
        <w:rPr>
          <w:rFonts w:eastAsia="Times New Roman"/>
          <w:i/>
          <w:iCs/>
          <w:position w:val="3"/>
          <w:sz w:val="18"/>
          <w:szCs w:val="18"/>
        </w:rPr>
        <w:t xml:space="preserve">Yangling </w:t>
      </w:r>
      <w:r>
        <w:rPr>
          <w:rFonts w:eastAsia="Times New Roman"/>
          <w:position w:val="3"/>
          <w:sz w:val="18"/>
          <w:szCs w:val="18"/>
        </w:rPr>
        <w:t>712100,</w:t>
      </w:r>
      <w:r>
        <w:rPr>
          <w:rFonts w:eastAsia="Times New Roman"/>
          <w:spacing w:val="12"/>
          <w:position w:val="3"/>
          <w:sz w:val="18"/>
          <w:szCs w:val="18"/>
        </w:rPr>
        <w:t xml:space="preserve"> </w:t>
      </w:r>
      <w:r>
        <w:rPr>
          <w:rFonts w:eastAsia="Times New Roman"/>
          <w:i/>
          <w:iCs/>
          <w:position w:val="3"/>
          <w:sz w:val="18"/>
          <w:szCs w:val="18"/>
        </w:rPr>
        <w:t>China</w:t>
      </w:r>
      <w:r>
        <w:rPr>
          <w:rFonts w:eastAsia="Times New Roman"/>
          <w:position w:val="3"/>
          <w:sz w:val="18"/>
          <w:szCs w:val="18"/>
        </w:rPr>
        <w:t>)</w:t>
      </w:r>
    </w:p>
    <w:p w14:paraId="1B8F35C5">
      <w:pPr>
        <w:spacing w:before="58" w:line="281" w:lineRule="auto"/>
        <w:ind w:left="8"/>
        <w:rPr>
          <w:rFonts w:eastAsia="Times New Roman"/>
          <w:b/>
          <w:bCs/>
          <w:sz w:val="20"/>
          <w:szCs w:val="20"/>
        </w:rPr>
      </w:pPr>
      <w:r>
        <w:rPr>
          <w:rFonts w:eastAsia="Times New Roman"/>
          <w:b/>
          <w:bCs/>
          <w:sz w:val="20"/>
          <w:szCs w:val="20"/>
        </w:rPr>
        <w:t xml:space="preserve">Abstract: </w:t>
      </w:r>
      <w:r>
        <w:rPr>
          <w:rFonts w:eastAsia="Times New Roman"/>
          <w:sz w:val="20"/>
          <w:szCs w:val="20"/>
        </w:rPr>
        <w:t>To investigate the effects of substituting dietary soybean meal with Chlorella on growth performance, muscle quality, and intestinal microbiota of mirror carp (</w:t>
      </w:r>
      <w:r>
        <w:rPr>
          <w:rFonts w:eastAsia="Times New Roman"/>
          <w:i/>
          <w:iCs/>
          <w:sz w:val="20"/>
          <w:szCs w:val="20"/>
        </w:rPr>
        <w:t xml:space="preserve">Cyprinus carpio </w:t>
      </w:r>
      <w:r>
        <w:rPr>
          <w:rFonts w:eastAsia="Times New Roman"/>
          <w:sz w:val="20"/>
          <w:szCs w:val="20"/>
        </w:rPr>
        <w:t>var.</w:t>
      </w:r>
      <w:r>
        <w:rPr>
          <w:rFonts w:eastAsia="Times New Roman"/>
          <w:i/>
          <w:iCs/>
          <w:sz w:val="20"/>
          <w:szCs w:val="20"/>
        </w:rPr>
        <w:t xml:space="preserve"> specularis</w:t>
      </w:r>
      <w:r>
        <w:rPr>
          <w:rFonts w:eastAsia="Times New Roman"/>
          <w:sz w:val="20"/>
          <w:szCs w:val="20"/>
        </w:rPr>
        <w:t xml:space="preserve">), five experimental diets were formulated by replacing dietary 0, 25%, 50%, 75%, and 100% of soybean meal with Chlorella, which </w:t>
      </w:r>
      <w:r>
        <w:rPr>
          <w:rFonts w:hint="eastAsia" w:eastAsia="Times New Roman"/>
          <w:sz w:val="20"/>
          <w:szCs w:val="20"/>
        </w:rPr>
        <w:t>were named</w:t>
      </w:r>
      <w:r>
        <w:rPr>
          <w:rFonts w:eastAsia="Times New Roman"/>
          <w:sz w:val="20"/>
          <w:szCs w:val="20"/>
        </w:rPr>
        <w:t xml:space="preserve"> CV0 (Control), CV25, CV50, CV75, and CV100, respectively. The mirror carp with an initial body weight of (20.00±0.01) g were fed five experimental diets for </w:t>
      </w:r>
      <w:r>
        <w:rPr>
          <w:rFonts w:hint="eastAsia" w:eastAsia="Times New Roman"/>
          <w:sz w:val="20"/>
          <w:szCs w:val="20"/>
        </w:rPr>
        <w:t>60 d.</w:t>
      </w:r>
      <w:r>
        <w:rPr>
          <w:rFonts w:eastAsia="Times New Roman"/>
          <w:sz w:val="20"/>
          <w:szCs w:val="20"/>
        </w:rPr>
        <w:t xml:space="preserve"> The results showed that compared with the CV0, the final body weight in </w:t>
      </w:r>
      <w:r>
        <w:rPr>
          <w:rFonts w:hint="eastAsia" w:eastAsia="Times New Roman"/>
          <w:sz w:val="20"/>
          <w:szCs w:val="20"/>
        </w:rPr>
        <w:t>the CV50</w:t>
      </w:r>
      <w:r>
        <w:rPr>
          <w:rFonts w:eastAsia="Times New Roman"/>
          <w:sz w:val="20"/>
          <w:szCs w:val="20"/>
        </w:rPr>
        <w:t xml:space="preserve"> and CV75 groups, the weight gain rate in </w:t>
      </w:r>
      <w:r>
        <w:rPr>
          <w:rFonts w:hint="eastAsia" w:eastAsia="Times New Roman"/>
          <w:sz w:val="20"/>
          <w:szCs w:val="20"/>
        </w:rPr>
        <w:t>the CV50</w:t>
      </w:r>
      <w:r>
        <w:rPr>
          <w:rFonts w:eastAsia="Times New Roman"/>
          <w:sz w:val="20"/>
          <w:szCs w:val="20"/>
        </w:rPr>
        <w:t xml:space="preserve">, </w:t>
      </w:r>
      <w:r>
        <w:rPr>
          <w:rFonts w:hint="eastAsia" w:eastAsia="Times New Roman"/>
          <w:sz w:val="20"/>
          <w:szCs w:val="20"/>
        </w:rPr>
        <w:t>CV75,</w:t>
      </w:r>
      <w:r>
        <w:rPr>
          <w:rFonts w:eastAsia="Times New Roman"/>
          <w:sz w:val="20"/>
          <w:szCs w:val="20"/>
        </w:rPr>
        <w:t xml:space="preserve"> and CV100 groups, the specific growth </w:t>
      </w:r>
      <w:r>
        <w:rPr>
          <w:rFonts w:hint="eastAsia" w:eastAsia="Times New Roman"/>
          <w:sz w:val="20"/>
          <w:szCs w:val="20"/>
        </w:rPr>
        <w:t>rate,</w:t>
      </w:r>
      <w:r>
        <w:rPr>
          <w:rFonts w:eastAsia="Times New Roman"/>
          <w:sz w:val="20"/>
          <w:szCs w:val="20"/>
        </w:rPr>
        <w:t xml:space="preserve"> and lipid retention efficiency in </w:t>
      </w:r>
      <w:r>
        <w:rPr>
          <w:rFonts w:hint="eastAsia" w:eastAsia="Times New Roman"/>
          <w:sz w:val="20"/>
          <w:szCs w:val="20"/>
        </w:rPr>
        <w:t>the CV25</w:t>
      </w:r>
      <w:r>
        <w:rPr>
          <w:rFonts w:eastAsia="Times New Roman"/>
          <w:sz w:val="20"/>
          <w:szCs w:val="20"/>
        </w:rPr>
        <w:t xml:space="preserve">, CV50, </w:t>
      </w:r>
      <w:r>
        <w:rPr>
          <w:rFonts w:hint="eastAsia" w:eastAsia="Times New Roman"/>
          <w:sz w:val="20"/>
          <w:szCs w:val="20"/>
        </w:rPr>
        <w:t>CV75,</w:t>
      </w:r>
      <w:r>
        <w:rPr>
          <w:rFonts w:eastAsia="Times New Roman"/>
          <w:sz w:val="20"/>
          <w:szCs w:val="20"/>
        </w:rPr>
        <w:t xml:space="preserve"> and CV100 groups, as well as the protein retention efficiency in </w:t>
      </w:r>
      <w:r>
        <w:rPr>
          <w:rFonts w:hint="eastAsia" w:eastAsia="Times New Roman"/>
          <w:sz w:val="20"/>
          <w:szCs w:val="20"/>
        </w:rPr>
        <w:t>the CV25</w:t>
      </w:r>
      <w:r>
        <w:rPr>
          <w:rFonts w:eastAsia="Times New Roman"/>
          <w:sz w:val="20"/>
          <w:szCs w:val="20"/>
        </w:rPr>
        <w:t xml:space="preserve">, </w:t>
      </w:r>
      <w:r>
        <w:rPr>
          <w:rFonts w:hint="eastAsia" w:eastAsia="Times New Roman"/>
          <w:sz w:val="20"/>
          <w:szCs w:val="20"/>
        </w:rPr>
        <w:t>CV50,</w:t>
      </w:r>
      <w:r>
        <w:rPr>
          <w:rFonts w:eastAsia="Times New Roman"/>
          <w:sz w:val="20"/>
          <w:szCs w:val="20"/>
        </w:rPr>
        <w:t xml:space="preserve"> and CV75 groups were significantly increased (</w:t>
      </w:r>
      <w:r>
        <w:rPr>
          <w:rFonts w:hint="eastAsia" w:eastAsia="Times New Roman"/>
          <w:i/>
          <w:iCs/>
          <w:sz w:val="20"/>
          <w:szCs w:val="20"/>
        </w:rPr>
        <w:t>P</w:t>
      </w:r>
      <w:r>
        <w:rPr>
          <w:rFonts w:hint="eastAsia" w:eastAsia="Times New Roman"/>
          <w:sz w:val="20"/>
          <w:szCs w:val="20"/>
        </w:rPr>
        <w:t>&lt;0.05</w:t>
      </w:r>
      <w:r>
        <w:rPr>
          <w:rFonts w:eastAsia="Times New Roman"/>
          <w:sz w:val="20"/>
          <w:szCs w:val="20"/>
        </w:rPr>
        <w:t xml:space="preserve">). The activities of α-amylase, </w:t>
      </w:r>
      <w:r>
        <w:rPr>
          <w:rFonts w:hint="eastAsia" w:eastAsia="Times New Roman"/>
          <w:sz w:val="20"/>
          <w:szCs w:val="20"/>
        </w:rPr>
        <w:t>trypsin,</w:t>
      </w:r>
      <w:r>
        <w:rPr>
          <w:rFonts w:eastAsia="Times New Roman"/>
          <w:sz w:val="20"/>
          <w:szCs w:val="20"/>
        </w:rPr>
        <w:t xml:space="preserve"> and lipase in the intestine of </w:t>
      </w:r>
      <w:r>
        <w:rPr>
          <w:rFonts w:hint="eastAsia" w:eastAsia="Times New Roman"/>
          <w:sz w:val="20"/>
          <w:szCs w:val="20"/>
        </w:rPr>
        <w:t>the CV50</w:t>
      </w:r>
      <w:r>
        <w:rPr>
          <w:rFonts w:eastAsia="Times New Roman"/>
          <w:sz w:val="20"/>
          <w:szCs w:val="20"/>
        </w:rPr>
        <w:t xml:space="preserve"> group were significantly higher than those in the CV0 (</w:t>
      </w:r>
      <w:r>
        <w:rPr>
          <w:rFonts w:hint="eastAsia" w:eastAsia="Times New Roman"/>
          <w:i/>
          <w:iCs/>
          <w:sz w:val="20"/>
          <w:szCs w:val="20"/>
        </w:rPr>
        <w:t>P</w:t>
      </w:r>
      <w:r>
        <w:rPr>
          <w:rFonts w:hint="eastAsia" w:eastAsia="Times New Roman"/>
          <w:sz w:val="20"/>
          <w:szCs w:val="20"/>
        </w:rPr>
        <w:t>&lt;0.05</w:t>
      </w:r>
      <w:r>
        <w:rPr>
          <w:rFonts w:eastAsia="Times New Roman"/>
          <w:sz w:val="20"/>
          <w:szCs w:val="20"/>
        </w:rPr>
        <w:t xml:space="preserve">). Meanwhile, the villus height and muscularis thickness of </w:t>
      </w:r>
      <w:r>
        <w:rPr>
          <w:rFonts w:hint="eastAsia" w:eastAsia="Times New Roman"/>
          <w:sz w:val="20"/>
          <w:szCs w:val="20"/>
        </w:rPr>
        <w:t>the intestine</w:t>
      </w:r>
      <w:r>
        <w:rPr>
          <w:rFonts w:eastAsia="Times New Roman"/>
          <w:sz w:val="20"/>
          <w:szCs w:val="20"/>
        </w:rPr>
        <w:t xml:space="preserve"> CV25 and CV50 groups were also significantly increased (</w:t>
      </w:r>
      <w:r>
        <w:rPr>
          <w:rFonts w:hint="eastAsia" w:eastAsia="Times New Roman"/>
          <w:i/>
          <w:iCs/>
          <w:sz w:val="20"/>
          <w:szCs w:val="20"/>
        </w:rPr>
        <w:t>P</w:t>
      </w:r>
      <w:r>
        <w:rPr>
          <w:rFonts w:eastAsia="Times New Roman"/>
          <w:sz w:val="20"/>
          <w:szCs w:val="20"/>
        </w:rPr>
        <w:t>&lt;0.05). In terms of health status, replacing dietary 50% soybean meal with Chlorella significantly increased the T-AOC levels and SOD activity in both liver and intestine (</w:t>
      </w:r>
      <w:r>
        <w:rPr>
          <w:rFonts w:hint="eastAsia"/>
          <w:sz w:val="20"/>
          <w:szCs w:val="20"/>
        </w:rPr>
        <w:t>P &lt; 0.05</w:t>
      </w:r>
      <w:r>
        <w:rPr>
          <w:rFonts w:eastAsia="Times New Roman"/>
          <w:sz w:val="20"/>
          <w:szCs w:val="20"/>
        </w:rPr>
        <w:t xml:space="preserve">), while also markedly reducing liver MDA </w:t>
      </w:r>
      <w:r>
        <w:rPr>
          <w:rFonts w:hint="eastAsia" w:eastAsia="Times New Roman"/>
          <w:sz w:val="20"/>
          <w:szCs w:val="20"/>
        </w:rPr>
        <w:t>levels</w:t>
      </w:r>
      <w:r>
        <w:rPr>
          <w:rFonts w:eastAsia="Times New Roman"/>
          <w:sz w:val="20"/>
          <w:szCs w:val="20"/>
        </w:rPr>
        <w:t xml:space="preserve"> (</w:t>
      </w:r>
      <w:r>
        <w:rPr>
          <w:rFonts w:hint="eastAsia"/>
          <w:sz w:val="20"/>
          <w:szCs w:val="20"/>
        </w:rPr>
        <w:t>P &lt; 0.05</w:t>
      </w:r>
      <w:r>
        <w:rPr>
          <w:rFonts w:eastAsia="Times New Roman"/>
          <w:sz w:val="20"/>
          <w:szCs w:val="20"/>
        </w:rPr>
        <w:t>). Meanwhile, intestinal CAT activity was seriously enhanced in the CV25 and CV50 groups (</w:t>
      </w:r>
      <w:r>
        <w:rPr>
          <w:rFonts w:hint="eastAsia" w:eastAsia="Times New Roman"/>
          <w:i/>
          <w:iCs/>
          <w:sz w:val="20"/>
          <w:szCs w:val="20"/>
        </w:rPr>
        <w:t>P</w:t>
      </w:r>
      <w:r>
        <w:rPr>
          <w:rFonts w:eastAsia="Times New Roman"/>
          <w:sz w:val="20"/>
          <w:szCs w:val="20"/>
        </w:rPr>
        <w:t xml:space="preserve">&lt;0.05). Compared with the control group, the CV50 group showed obviously increased serum alkaline phosphatase levels, while serum alanine </w:t>
      </w:r>
      <w:r>
        <w:rPr>
          <w:rFonts w:hint="eastAsia"/>
          <w:sz w:val="20"/>
          <w:szCs w:val="20"/>
        </w:rPr>
        <w:t>aminotransferase</w:t>
      </w:r>
      <w:r>
        <w:rPr>
          <w:rFonts w:eastAsia="Times New Roman"/>
          <w:sz w:val="20"/>
          <w:szCs w:val="20"/>
        </w:rPr>
        <w:t xml:space="preserve"> and aspartate </w:t>
      </w:r>
      <w:r>
        <w:rPr>
          <w:rFonts w:hint="eastAsia"/>
          <w:sz w:val="20"/>
          <w:szCs w:val="20"/>
        </w:rPr>
        <w:t>aminotransferase</w:t>
      </w:r>
      <w:r>
        <w:rPr>
          <w:rFonts w:eastAsia="Times New Roman"/>
          <w:sz w:val="20"/>
          <w:szCs w:val="20"/>
        </w:rPr>
        <w:t xml:space="preserve"> levels were significantly </w:t>
      </w:r>
      <w:r>
        <w:rPr>
          <w:rFonts w:hint="eastAsia" w:eastAsia="Times New Roman"/>
          <w:sz w:val="20"/>
          <w:szCs w:val="20"/>
        </w:rPr>
        <w:t>decreased</w:t>
      </w:r>
      <w:r>
        <w:rPr>
          <w:rFonts w:eastAsia="Times New Roman"/>
          <w:sz w:val="20"/>
          <w:szCs w:val="20"/>
        </w:rPr>
        <w:t xml:space="preserve"> (</w:t>
      </w:r>
      <w:r>
        <w:rPr>
          <w:rFonts w:hint="eastAsia"/>
          <w:sz w:val="20"/>
          <w:szCs w:val="20"/>
        </w:rPr>
        <w:t>P &lt; 0.05</w:t>
      </w:r>
      <w:r>
        <w:rPr>
          <w:rFonts w:eastAsia="Times New Roman"/>
          <w:sz w:val="20"/>
          <w:szCs w:val="20"/>
        </w:rPr>
        <w:t xml:space="preserve">). Pathological damage was observed in both liver and kidney tissues in the CV100 group. In terms of muscle quality, substituting 50% dietary soybean meal with Chlorella significantly improved the nutritional value of fish by increasing the crude protein and crude lipid </w:t>
      </w:r>
      <w:r>
        <w:rPr>
          <w:rFonts w:hint="eastAsia" w:eastAsia="Times New Roman"/>
          <w:sz w:val="20"/>
          <w:szCs w:val="20"/>
        </w:rPr>
        <w:t>levels</w:t>
      </w:r>
      <w:r>
        <w:rPr>
          <w:rFonts w:eastAsia="Times New Roman"/>
          <w:sz w:val="20"/>
          <w:szCs w:val="20"/>
        </w:rPr>
        <w:t xml:space="preserve"> in both </w:t>
      </w:r>
      <w:r>
        <w:rPr>
          <w:rFonts w:hint="eastAsia" w:eastAsia="Times New Roman"/>
          <w:sz w:val="20"/>
          <w:szCs w:val="20"/>
        </w:rPr>
        <w:t>the whole</w:t>
      </w:r>
      <w:r>
        <w:rPr>
          <w:rFonts w:eastAsia="Times New Roman"/>
          <w:sz w:val="20"/>
          <w:szCs w:val="20"/>
        </w:rPr>
        <w:t xml:space="preserve"> body and muscle, as well as the muscle NEAA, EAA, and PUFA </w:t>
      </w:r>
      <w:r>
        <w:rPr>
          <w:rFonts w:hint="eastAsia" w:eastAsia="Times New Roman"/>
          <w:sz w:val="20"/>
          <w:szCs w:val="20"/>
        </w:rPr>
        <w:t>levels</w:t>
      </w:r>
      <w:r>
        <w:rPr>
          <w:rFonts w:eastAsia="Times New Roman"/>
          <w:sz w:val="20"/>
          <w:szCs w:val="20"/>
        </w:rPr>
        <w:t xml:space="preserve"> (</w:t>
      </w:r>
      <w:r>
        <w:rPr>
          <w:rFonts w:hint="eastAsia" w:eastAsia="Times New Roman"/>
          <w:i/>
          <w:iCs/>
          <w:sz w:val="20"/>
          <w:szCs w:val="20"/>
        </w:rPr>
        <w:t>P</w:t>
      </w:r>
      <w:r>
        <w:rPr>
          <w:rFonts w:hint="eastAsia" w:eastAsia="Times New Roman"/>
          <w:sz w:val="20"/>
          <w:szCs w:val="20"/>
        </w:rPr>
        <w:t>&lt;0.05</w:t>
      </w:r>
      <w:r>
        <w:rPr>
          <w:rFonts w:eastAsia="Times New Roman"/>
          <w:sz w:val="20"/>
          <w:szCs w:val="20"/>
        </w:rPr>
        <w:t xml:space="preserve">). Principal component </w:t>
      </w:r>
      <w:r>
        <w:rPr>
          <w:rFonts w:hint="eastAsia" w:eastAsia="Times New Roman"/>
          <w:sz w:val="20"/>
          <w:szCs w:val="20"/>
        </w:rPr>
        <w:t>analysis</w:t>
      </w:r>
      <w:r>
        <w:rPr>
          <w:rFonts w:eastAsia="Times New Roman"/>
          <w:sz w:val="20"/>
          <w:szCs w:val="20"/>
        </w:rPr>
        <w:t xml:space="preserve"> of muscle texture characteristics showed that the CV50 group exhibited superior texture properties compared to other groups, indicating that replacing dietary 50% soybean meal with Chlorella improved muscle texture. </w:t>
      </w:r>
      <w:r>
        <w:rPr>
          <w:rFonts w:hint="eastAsia" w:eastAsia="Times New Roman"/>
          <w:sz w:val="20"/>
          <w:szCs w:val="20"/>
        </w:rPr>
        <w:t>Additionally</w:t>
      </w:r>
      <w:r>
        <w:rPr>
          <w:rFonts w:eastAsia="Times New Roman"/>
          <w:sz w:val="20"/>
          <w:szCs w:val="20"/>
        </w:rPr>
        <w:t>, replacing 50%, 75%, and 100% of soybean meal with Chlorella increased muscle redness and yellowness (</w:t>
      </w:r>
      <w:r>
        <w:rPr>
          <w:rFonts w:hint="eastAsia" w:eastAsia="Times New Roman"/>
          <w:i/>
          <w:iCs/>
          <w:sz w:val="20"/>
          <w:szCs w:val="20"/>
        </w:rPr>
        <w:t>P</w:t>
      </w:r>
      <w:r>
        <w:rPr>
          <w:rFonts w:hint="eastAsia" w:eastAsia="Times New Roman"/>
          <w:sz w:val="20"/>
          <w:szCs w:val="20"/>
        </w:rPr>
        <w:t>&lt;0.05</w:t>
      </w:r>
      <w:r>
        <w:rPr>
          <w:rFonts w:eastAsia="Times New Roman"/>
          <w:sz w:val="20"/>
          <w:szCs w:val="20"/>
        </w:rPr>
        <w:t xml:space="preserve">). The 50% dietary soybean meal was substituted by </w:t>
      </w:r>
      <w:r>
        <w:rPr>
          <w:rFonts w:hint="eastAsia" w:eastAsia="Times New Roman"/>
          <w:sz w:val="20"/>
          <w:szCs w:val="20"/>
        </w:rPr>
        <w:t>Chlorella, which</w:t>
      </w:r>
      <w:r>
        <w:rPr>
          <w:rFonts w:eastAsia="Times New Roman"/>
          <w:sz w:val="20"/>
          <w:szCs w:val="20"/>
        </w:rPr>
        <w:t xml:space="preserve"> elevated the relative abundance of dominant intestinal microbiota (Proteobacteria and </w:t>
      </w:r>
      <w:r>
        <w:rPr>
          <w:rFonts w:hint="eastAsia" w:eastAsia="Times New Roman"/>
          <w:sz w:val="20"/>
          <w:szCs w:val="20"/>
        </w:rPr>
        <w:t>Verrucomicrobia</w:t>
      </w:r>
      <w:r>
        <w:rPr>
          <w:rFonts w:eastAsia="Times New Roman"/>
          <w:sz w:val="20"/>
          <w:szCs w:val="20"/>
        </w:rPr>
        <w:t xml:space="preserve">). The quadratic regression analysis based on growth performance indicated that the optimal replacement level of soybean meal with Chlorella was </w:t>
      </w:r>
      <w:r>
        <w:rPr>
          <w:rFonts w:hint="eastAsia" w:eastAsia="Times New Roman"/>
          <w:sz w:val="20"/>
          <w:szCs w:val="20"/>
        </w:rPr>
        <w:t>58.14%–70.54</w:t>
      </w:r>
      <w:r>
        <w:rPr>
          <w:rFonts w:eastAsia="Times New Roman"/>
          <w:sz w:val="20"/>
          <w:szCs w:val="20"/>
        </w:rPr>
        <w:t xml:space="preserve">%. In conclusion, complete replacement of soybean meal with Chlorella had no negative effects on the growth performance of mirror carp, but caused damage to liver and kidney tissues. However, appropriate replacement of soybean meal with Chlorella promoted the growth, improved </w:t>
      </w:r>
      <w:r>
        <w:rPr>
          <w:rFonts w:hint="eastAsia" w:eastAsia="Times New Roman"/>
          <w:sz w:val="20"/>
          <w:szCs w:val="20"/>
        </w:rPr>
        <w:t xml:space="preserve">the </w:t>
      </w:r>
      <w:r>
        <w:rPr>
          <w:rFonts w:eastAsia="Times New Roman"/>
          <w:sz w:val="20"/>
          <w:szCs w:val="20"/>
        </w:rPr>
        <w:t xml:space="preserve">muscle quality of mirror carp, with the optimal replacement level being </w:t>
      </w:r>
      <w:r>
        <w:rPr>
          <w:rFonts w:hint="eastAsia"/>
          <w:sz w:val="20"/>
          <w:szCs w:val="20"/>
        </w:rPr>
        <w:t>58%</w:t>
      </w:r>
      <w:r>
        <w:rPr>
          <w:rFonts w:hint="eastAsia" w:eastAsia="Times New Roman"/>
          <w:sz w:val="20"/>
          <w:szCs w:val="20"/>
        </w:rPr>
        <w:t>.</w:t>
      </w:r>
      <w:r>
        <w:rPr>
          <w:rFonts w:eastAsia="Times New Roman"/>
          <w:sz w:val="20"/>
          <w:szCs w:val="20"/>
        </w:rPr>
        <w:t xml:space="preserve"> 14%—70.54%.</w:t>
      </w:r>
    </w:p>
    <w:p w14:paraId="600E7E16">
      <w:pPr>
        <w:spacing w:before="58" w:line="281" w:lineRule="auto"/>
        <w:ind w:left="8"/>
        <w:rPr>
          <w:rFonts w:eastAsia="Times New Roman"/>
          <w:sz w:val="20"/>
          <w:szCs w:val="20"/>
        </w:rPr>
      </w:pPr>
      <w:r>
        <w:rPr>
          <w:rFonts w:eastAsia="Times New Roman"/>
          <w:b/>
          <w:bCs/>
          <w:sz w:val="20"/>
          <w:szCs w:val="20"/>
        </w:rPr>
        <w:t xml:space="preserve">Key words: </w:t>
      </w:r>
      <w:r>
        <w:rPr>
          <w:rFonts w:eastAsia="Times New Roman"/>
          <w:sz w:val="20"/>
          <w:szCs w:val="20"/>
        </w:rPr>
        <w:t xml:space="preserve">Soybean meal; Chlorella; New protein source; Growth performance; Muscle quality; Intestinal flora; </w:t>
      </w:r>
      <w:r>
        <w:rPr>
          <w:rFonts w:eastAsia="Times New Roman"/>
          <w:i/>
          <w:iCs/>
          <w:sz w:val="20"/>
          <w:szCs w:val="20"/>
        </w:rPr>
        <w:t>Cyprinus carpio var. specularis</w:t>
      </w:r>
    </w:p>
    <w:p w14:paraId="270802B0">
      <w:pPr>
        <w:spacing w:line="360" w:lineRule="auto"/>
        <w:ind w:right="641"/>
        <w:outlineLvl w:val="0"/>
        <w:rPr>
          <w:rFonts w:eastAsia="黑体"/>
          <w:b/>
          <w:bCs/>
          <w:sz w:val="32"/>
          <w:szCs w:val="32"/>
          <w:bdr w:val="single" w:color="auto" w:sz="4" w:space="0"/>
        </w:rPr>
      </w:pPr>
    </w:p>
    <w:p w14:paraId="795BD49A">
      <w:pPr>
        <w:spacing w:line="360" w:lineRule="auto"/>
        <w:ind w:firstLine="480" w:firstLineChars="200"/>
        <w:rPr>
          <w:sz w:val="24"/>
        </w:rPr>
      </w:pPr>
      <w:r>
        <w:rPr>
          <w:sz w:val="24"/>
        </w:rPr>
        <w:t>全球水产养殖的快速扩张推动了对水产饲料需求的急剧增长。而饲料成本通常占水产养殖成本的50%</w:t>
      </w:r>
      <w:r>
        <w:rPr>
          <w:rFonts w:hint="eastAsia"/>
          <w:sz w:val="24"/>
        </w:rPr>
        <w:t>～</w:t>
      </w:r>
      <w:r>
        <w:rPr>
          <w:sz w:val="24"/>
        </w:rPr>
        <w:t>70%</w:t>
      </w:r>
      <w:r>
        <w:rPr>
          <w:rFonts w:hint="eastAsia"/>
          <w:sz w:val="24"/>
        </w:rPr>
        <w:t>，</w:t>
      </w:r>
      <w:r>
        <w:rPr>
          <w:sz w:val="24"/>
        </w:rPr>
        <w:t>其中蛋白质原料成本占比一度超过60%。因此</w:t>
      </w:r>
      <w:r>
        <w:rPr>
          <w:rFonts w:hint="eastAsia"/>
          <w:sz w:val="24"/>
        </w:rPr>
        <w:t>，</w:t>
      </w:r>
      <w:r>
        <w:rPr>
          <w:sz w:val="24"/>
        </w:rPr>
        <w:t>探索既经济高效又环保的可持续蛋白源已成为一个关键的研究热点。而豆粕因其蛋白质含量高、均衡的氨基酸组成和良好的适口性</w:t>
      </w:r>
      <w:r>
        <w:rPr>
          <w:rFonts w:hint="eastAsia"/>
          <w:sz w:val="24"/>
        </w:rPr>
        <w:t>，</w:t>
      </w:r>
      <w:r>
        <w:rPr>
          <w:sz w:val="24"/>
        </w:rPr>
        <w:t>一直是水产饲料中重要的植物蛋白</w:t>
      </w:r>
      <w:r>
        <w:fldChar w:fldCharType="begin"/>
      </w:r>
      <w:r>
        <w:instrText xml:space="preserve"> HYPERLINK \l "bookmark2" </w:instrText>
      </w:r>
      <w:r>
        <w:fldChar w:fldCharType="separate"/>
      </w:r>
      <w:r>
        <w:rPr>
          <w:sz w:val="24"/>
          <w:vertAlign w:val="superscript"/>
        </w:rPr>
        <w:t>[</w:t>
      </w:r>
      <w:r>
        <w:rPr>
          <w:sz w:val="24"/>
          <w:vertAlign w:val="superscript"/>
        </w:rPr>
        <w:fldChar w:fldCharType="end"/>
      </w:r>
      <w:r>
        <w:fldChar w:fldCharType="begin"/>
      </w:r>
      <w:r>
        <w:instrText xml:space="preserve"> HYPERLINK \l "bookmark1" </w:instrText>
      </w:r>
      <w:r>
        <w:fldChar w:fldCharType="separate"/>
      </w:r>
      <w:r>
        <w:rPr>
          <w:sz w:val="24"/>
          <w:vertAlign w:val="superscript"/>
        </w:rPr>
        <w:t>1</w:t>
      </w:r>
      <w:r>
        <w:rPr>
          <w:sz w:val="24"/>
          <w:vertAlign w:val="superscript"/>
        </w:rPr>
        <w:fldChar w:fldCharType="end"/>
      </w:r>
      <w:r>
        <w:rPr>
          <w:sz w:val="24"/>
          <w:vertAlign w:val="superscript"/>
        </w:rPr>
        <w:t>]</w:t>
      </w:r>
      <w:r>
        <w:rPr>
          <w:sz w:val="24"/>
        </w:rPr>
        <w:t>。但豆粕中的抗营养因子</w:t>
      </w:r>
      <w:r>
        <w:rPr>
          <w:rFonts w:hint="eastAsia"/>
          <w:sz w:val="24"/>
        </w:rPr>
        <w:t>，</w:t>
      </w:r>
      <w:r>
        <w:rPr>
          <w:sz w:val="24"/>
        </w:rPr>
        <w:t xml:space="preserve"> 如胰蛋白酶抑制剂、植酸、植物</w:t>
      </w:r>
      <w:r>
        <w:rPr>
          <w:rFonts w:hint="eastAsia"/>
          <w:sz w:val="24"/>
        </w:rPr>
        <w:t>凝集素这些物质</w:t>
      </w:r>
      <w:r>
        <w:rPr>
          <w:sz w:val="24"/>
        </w:rPr>
        <w:t>等</w:t>
      </w:r>
      <w:r>
        <w:rPr>
          <w:rFonts w:hint="eastAsia"/>
          <w:sz w:val="24"/>
        </w:rPr>
        <w:t>，</w:t>
      </w:r>
      <w:r>
        <w:rPr>
          <w:sz w:val="24"/>
        </w:rPr>
        <w:t xml:space="preserve"> 也限制了其在水产饲料中的添加量</w:t>
      </w:r>
      <w:r>
        <w:rPr>
          <w:sz w:val="24"/>
          <w:vertAlign w:val="superscript"/>
        </w:rPr>
        <w:fldChar w:fldCharType="begin"/>
      </w:r>
      <w:r>
        <w:rPr>
          <w:sz w:val="24"/>
          <w:vertAlign w:val="superscript"/>
        </w:rPr>
        <w:instrText xml:space="preserve"> HYPERLINK \l "bookmark4"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"bookmark3" </w:instrText>
      </w:r>
      <w:r>
        <w:fldChar w:fldCharType="separate"/>
      </w:r>
      <w:r>
        <w:rPr>
          <w:sz w:val="24"/>
          <w:vertAlign w:val="superscript"/>
        </w:rPr>
        <w:t>2</w:t>
      </w:r>
      <w:r>
        <w:rPr>
          <w:sz w:val="24"/>
          <w:vertAlign w:val="superscript"/>
        </w:rPr>
        <w:fldChar w:fldCharType="end"/>
      </w:r>
      <w:r>
        <w:rPr>
          <w:sz w:val="24"/>
          <w:vertAlign w:val="superscript"/>
        </w:rPr>
        <w:t>]</w:t>
      </w:r>
      <w:r>
        <w:rPr>
          <w:sz w:val="24"/>
        </w:rPr>
        <w:t>。除此之外</w:t>
      </w:r>
      <w:r>
        <w:rPr>
          <w:rFonts w:hint="eastAsia"/>
          <w:sz w:val="24"/>
        </w:rPr>
        <w:t>，</w:t>
      </w:r>
      <w:r>
        <w:rPr>
          <w:sz w:val="24"/>
        </w:rPr>
        <w:t>我国的豆粕高度依赖进口</w:t>
      </w:r>
      <w:r>
        <w:rPr>
          <w:rFonts w:hint="eastAsia"/>
          <w:sz w:val="24"/>
        </w:rPr>
        <w:t>，</w:t>
      </w:r>
      <w:r>
        <w:rPr>
          <w:sz w:val="24"/>
        </w:rPr>
        <w:t>据统计</w:t>
      </w:r>
      <w:r>
        <w:rPr>
          <w:rFonts w:hint="eastAsia"/>
          <w:sz w:val="24"/>
        </w:rPr>
        <w:t>，</w:t>
      </w:r>
      <w:r>
        <w:rPr>
          <w:sz w:val="24"/>
        </w:rPr>
        <w:t>2025年我国大豆进口量创历史新高</w:t>
      </w:r>
      <w:r>
        <w:rPr>
          <w:rFonts w:hint="eastAsia"/>
          <w:sz w:val="24"/>
        </w:rPr>
        <w:t>，</w:t>
      </w:r>
      <w:r>
        <w:rPr>
          <w:sz w:val="24"/>
        </w:rPr>
        <w:t>达11183.3万吨</w:t>
      </w:r>
      <w:r>
        <w:rPr>
          <w:rFonts w:hint="eastAsia"/>
          <w:sz w:val="24"/>
        </w:rPr>
        <w:t>，</w:t>
      </w:r>
      <w:r>
        <w:rPr>
          <w:sz w:val="24"/>
        </w:rPr>
        <w:t>对外依存度超过80%</w:t>
      </w:r>
      <w:r>
        <w:rPr>
          <w:rFonts w:hint="eastAsia"/>
          <w:sz w:val="24"/>
        </w:rPr>
        <w:t>，</w:t>
      </w:r>
      <w:r>
        <w:rPr>
          <w:sz w:val="24"/>
        </w:rPr>
        <w:t>成为我国受制于人的“卡脖子”隐患。与此同时</w:t>
      </w:r>
      <w:r>
        <w:rPr>
          <w:rFonts w:hint="eastAsia"/>
          <w:sz w:val="24"/>
        </w:rPr>
        <w:t>，</w:t>
      </w:r>
      <w:r>
        <w:rPr>
          <w:sz w:val="24"/>
        </w:rPr>
        <w:t>大豆也是我国居民重要的食物蛋白来源</w:t>
      </w:r>
      <w:r>
        <w:rPr>
          <w:rFonts w:hint="eastAsia"/>
          <w:sz w:val="24"/>
        </w:rPr>
        <w:t>，</w:t>
      </w:r>
      <w:r>
        <w:rPr>
          <w:sz w:val="24"/>
        </w:rPr>
        <w:t>而豆粕的饲料消耗也将严重威胁我国的粮食安全。以上这些因素凸显了豆粕在实现水产饲料发展的长期可持续目标方面的不足。因此</w:t>
      </w:r>
      <w:r>
        <w:rPr>
          <w:rFonts w:hint="eastAsia"/>
          <w:sz w:val="24"/>
        </w:rPr>
        <w:t>，</w:t>
      </w:r>
      <w:r>
        <w:rPr>
          <w:sz w:val="24"/>
        </w:rPr>
        <w:t>寻找豆粕的替代蛋白源对于保障我国粮食安全和促进我国水产养殖业可持续发展至关重要。</w:t>
      </w:r>
    </w:p>
    <w:p w14:paraId="52F820C3">
      <w:pPr>
        <w:spacing w:line="360" w:lineRule="auto"/>
        <w:ind w:firstLine="480" w:firstLineChars="200"/>
        <w:rPr>
          <w:sz w:val="24"/>
        </w:rPr>
      </w:pPr>
      <w:r>
        <w:rPr>
          <w:sz w:val="24"/>
        </w:rPr>
        <w:t>微藻资源因其蛋白质含量丰富、氨基酸组成均衡、富含多种生物活性物质</w:t>
      </w:r>
      <w:r>
        <w:rPr>
          <w:rFonts w:hint="eastAsia"/>
          <w:sz w:val="24"/>
        </w:rPr>
        <w:t>，</w:t>
      </w:r>
      <w:r>
        <w:rPr>
          <w:sz w:val="24"/>
        </w:rPr>
        <w:t>被视为一类极具潜力的功能性饲料蛋白资源</w:t>
      </w:r>
      <w:r>
        <w:fldChar w:fldCharType="begin"/>
      </w:r>
      <w:r>
        <w:instrText xml:space="preserve"> HYPERLINK \l "bookmark6" </w:instrText>
      </w:r>
      <w:r>
        <w:fldChar w:fldCharType="separate"/>
      </w:r>
      <w:r>
        <w:rPr>
          <w:sz w:val="24"/>
          <w:vertAlign w:val="superscript"/>
        </w:rPr>
        <w:t>[</w:t>
      </w:r>
      <w:r>
        <w:rPr>
          <w:sz w:val="24"/>
          <w:vertAlign w:val="superscript"/>
        </w:rPr>
        <w:fldChar w:fldCharType="end"/>
      </w:r>
      <w:r>
        <w:fldChar w:fldCharType="begin"/>
      </w:r>
      <w:r>
        <w:instrText xml:space="preserve"> HYPERLINK \l "bookmark5" </w:instrText>
      </w:r>
      <w:r>
        <w:fldChar w:fldCharType="separate"/>
      </w:r>
      <w:r>
        <w:rPr>
          <w:sz w:val="24"/>
          <w:vertAlign w:val="superscript"/>
        </w:rPr>
        <w:t>3</w:t>
      </w:r>
      <w:r>
        <w:rPr>
          <w:sz w:val="24"/>
          <w:vertAlign w:val="superscript"/>
        </w:rPr>
        <w:fldChar w:fldCharType="end"/>
      </w:r>
      <w:r>
        <w:rPr>
          <w:sz w:val="24"/>
          <w:vertAlign w:val="superscript"/>
        </w:rPr>
        <w:t>]</w:t>
      </w:r>
      <w:r>
        <w:rPr>
          <w:sz w:val="24"/>
        </w:rPr>
        <w:t>。小球藻</w:t>
      </w:r>
      <w:r>
        <w:rPr>
          <w:rFonts w:hint="eastAsia"/>
          <w:sz w:val="24"/>
        </w:rPr>
        <w:t>（</w:t>
      </w:r>
      <w:r>
        <w:rPr>
          <w:sz w:val="24"/>
        </w:rPr>
        <w:t>Chlorella</w:t>
      </w:r>
      <w:r>
        <w:rPr>
          <w:rFonts w:hint="eastAsia"/>
          <w:sz w:val="24"/>
        </w:rPr>
        <w:t>）</w:t>
      </w:r>
      <w:r>
        <w:rPr>
          <w:sz w:val="24"/>
        </w:rPr>
        <w:t>作为微藻资源的一种</w:t>
      </w:r>
      <w:r>
        <w:rPr>
          <w:rFonts w:hint="eastAsia"/>
          <w:sz w:val="24"/>
        </w:rPr>
        <w:t>，</w:t>
      </w:r>
      <w:r>
        <w:rPr>
          <w:sz w:val="24"/>
        </w:rPr>
        <w:t>不仅蛋白含量高</w:t>
      </w:r>
      <w:r>
        <w:rPr>
          <w:rFonts w:hint="eastAsia"/>
          <w:sz w:val="24"/>
        </w:rPr>
        <w:t>，</w:t>
      </w:r>
      <w:r>
        <w:rPr>
          <w:sz w:val="24"/>
        </w:rPr>
        <w:t>还含有鱼类生长所必需的多种多不饱和脂肪酸</w:t>
      </w:r>
      <w:r>
        <w:rPr>
          <w:rFonts w:hint="eastAsia"/>
          <w:sz w:val="24"/>
        </w:rPr>
        <w:t>，并且</w:t>
      </w:r>
      <w:r>
        <w:rPr>
          <w:sz w:val="24"/>
        </w:rPr>
        <w:t>还具有易于人工培养、生长快、生产周期短、不占用耕地等优点</w:t>
      </w:r>
      <w:r>
        <w:rPr>
          <w:rFonts w:hint="eastAsia"/>
          <w:sz w:val="24"/>
        </w:rPr>
        <w:t>，</w:t>
      </w:r>
      <w:r>
        <w:rPr>
          <w:sz w:val="24"/>
        </w:rPr>
        <w:t>生产过程不受季节限制</w:t>
      </w:r>
      <w:r>
        <w:rPr>
          <w:rFonts w:hint="eastAsia"/>
          <w:sz w:val="24"/>
        </w:rPr>
        <w:t>，</w:t>
      </w:r>
      <w:r>
        <w:rPr>
          <w:sz w:val="24"/>
        </w:rPr>
        <w:t>可实现全年稳定生产</w:t>
      </w:r>
      <w:r>
        <w:rPr>
          <w:rFonts w:hint="eastAsia"/>
          <w:sz w:val="24"/>
        </w:rPr>
        <w:t>，</w:t>
      </w:r>
      <w:r>
        <w:rPr>
          <w:sz w:val="24"/>
        </w:rPr>
        <w:t>且能利用废弃物资源</w:t>
      </w:r>
      <w:r>
        <w:rPr>
          <w:rFonts w:hint="eastAsia"/>
          <w:sz w:val="24"/>
        </w:rPr>
        <w:t>，</w:t>
      </w:r>
      <w:r>
        <w:rPr>
          <w:sz w:val="24"/>
        </w:rPr>
        <w:t>降低碳排放</w:t>
      </w:r>
      <w:r>
        <w:rPr>
          <w:rFonts w:hint="eastAsia"/>
          <w:sz w:val="24"/>
        </w:rPr>
        <w:t>，</w:t>
      </w:r>
      <w:r>
        <w:rPr>
          <w:sz w:val="24"/>
        </w:rPr>
        <w:t>符合可持续发展要求</w:t>
      </w:r>
      <w:r>
        <w:fldChar w:fldCharType="begin"/>
      </w:r>
      <w:r>
        <w:instrText xml:space="preserve"> HYPERLINK \l "bookmark8" </w:instrText>
      </w:r>
      <w:r>
        <w:fldChar w:fldCharType="separate"/>
      </w:r>
      <w:r>
        <w:rPr>
          <w:sz w:val="24"/>
          <w:vertAlign w:val="superscript"/>
        </w:rPr>
        <w:t>[</w:t>
      </w:r>
      <w:r>
        <w:rPr>
          <w:sz w:val="24"/>
          <w:vertAlign w:val="superscript"/>
        </w:rPr>
        <w:fldChar w:fldCharType="end"/>
      </w:r>
      <w:r>
        <w:fldChar w:fldCharType="begin"/>
      </w:r>
      <w:r>
        <w:instrText xml:space="preserve"> HYPERLINK \l "bookmark7" </w:instrText>
      </w:r>
      <w:r>
        <w:fldChar w:fldCharType="separate"/>
      </w:r>
      <w:r>
        <w:rPr>
          <w:sz w:val="24"/>
          <w:vertAlign w:val="superscript"/>
        </w:rPr>
        <w:t>4</w:t>
      </w:r>
      <w:r>
        <w:rPr>
          <w:sz w:val="24"/>
          <w:vertAlign w:val="superscript"/>
        </w:rPr>
        <w:fldChar w:fldCharType="end"/>
      </w:r>
      <w:r>
        <w:rPr>
          <w:sz w:val="24"/>
          <w:vertAlign w:val="superscript"/>
        </w:rPr>
        <w:t>]</w:t>
      </w:r>
      <w:r>
        <w:rPr>
          <w:sz w:val="24"/>
        </w:rPr>
        <w:t>。在营养价值和促进养殖动物健康方面展现出巨大的优势</w:t>
      </w:r>
      <w:r>
        <w:rPr>
          <w:rFonts w:hint="eastAsia"/>
          <w:sz w:val="24"/>
        </w:rPr>
        <w:t>，</w:t>
      </w:r>
      <w:r>
        <w:rPr>
          <w:sz w:val="24"/>
        </w:rPr>
        <w:t>其在水产饲料中的应用研究也日益受到关注</w:t>
      </w:r>
      <w:r>
        <w:rPr>
          <w:sz w:val="24"/>
          <w:vertAlign w:val="superscript"/>
        </w:rPr>
        <w:t>[</w:t>
      </w:r>
      <w:r>
        <w:fldChar w:fldCharType="begin"/>
      </w:r>
      <w:r>
        <w:instrText xml:space="preserve"> HYPERLINK \l "bookmark9" </w:instrText>
      </w:r>
      <w:r>
        <w:fldChar w:fldCharType="separate"/>
      </w:r>
      <w:r>
        <w:rPr>
          <w:sz w:val="24"/>
          <w:vertAlign w:val="superscript"/>
        </w:rPr>
        <w:t>5</w:t>
      </w:r>
      <w:r>
        <w:rPr>
          <w:sz w:val="24"/>
          <w:vertAlign w:val="superscript"/>
        </w:rPr>
        <w:fldChar w:fldCharType="end"/>
      </w:r>
      <w:r>
        <w:rPr>
          <w:sz w:val="24"/>
          <w:vertAlign w:val="superscript"/>
        </w:rPr>
        <w:t>]</w:t>
      </w:r>
      <w:r>
        <w:rPr>
          <w:sz w:val="24"/>
        </w:rPr>
        <w:t>。</w:t>
      </w:r>
    </w:p>
    <w:p w14:paraId="140DCCC2">
      <w:pPr>
        <w:spacing w:line="360" w:lineRule="auto"/>
        <w:ind w:firstLine="480" w:firstLineChars="200"/>
        <w:rPr>
          <w:sz w:val="24"/>
        </w:rPr>
      </w:pPr>
      <w:r>
        <w:rPr>
          <w:sz w:val="24"/>
        </w:rPr>
        <w:t>框鳞镜鲤</w:t>
      </w:r>
      <w:r>
        <w:rPr>
          <w:rFonts w:hint="eastAsia"/>
          <w:sz w:val="24"/>
        </w:rPr>
        <w:t>（</w:t>
      </w:r>
      <w:r>
        <w:rPr>
          <w:i/>
          <w:iCs/>
          <w:sz w:val="24"/>
        </w:rPr>
        <w:t xml:space="preserve">Cyprinus carpio </w:t>
      </w:r>
      <w:r>
        <w:rPr>
          <w:sz w:val="24"/>
        </w:rPr>
        <w:t>var.</w:t>
      </w:r>
      <w:r>
        <w:rPr>
          <w:i/>
          <w:iCs/>
          <w:sz w:val="24"/>
        </w:rPr>
        <w:t xml:space="preserve"> specularis</w:t>
      </w:r>
      <w:r>
        <w:rPr>
          <w:rFonts w:hint="eastAsia"/>
          <w:sz w:val="24"/>
        </w:rPr>
        <w:t>），</w:t>
      </w:r>
      <w:r>
        <w:rPr>
          <w:sz w:val="24"/>
        </w:rPr>
        <w:t>凭借其具有的生长周期短、抗病力强、饲料转化率高、肉质鲜美等特点</w:t>
      </w:r>
      <w:r>
        <w:rPr>
          <w:sz w:val="24"/>
          <w:vertAlign w:val="superscript"/>
        </w:rPr>
        <w:t>[</w:t>
      </w:r>
      <w:r>
        <w:fldChar w:fldCharType="begin"/>
      </w:r>
      <w:r>
        <w:instrText xml:space="preserve"> HYPERLINK \l "bookmark10" </w:instrText>
      </w:r>
      <w:r>
        <w:fldChar w:fldCharType="separate"/>
      </w:r>
      <w:r>
        <w:rPr>
          <w:sz w:val="24"/>
          <w:vertAlign w:val="superscript"/>
        </w:rPr>
        <w:t>6</w:t>
      </w:r>
      <w:r>
        <w:rPr>
          <w:sz w:val="24"/>
          <w:vertAlign w:val="superscript"/>
        </w:rPr>
        <w:fldChar w:fldCharType="end"/>
      </w:r>
      <w:r>
        <w:rPr>
          <w:sz w:val="24"/>
          <w:vertAlign w:val="superscript"/>
        </w:rPr>
        <w:t>]</w:t>
      </w:r>
      <w:r>
        <w:rPr>
          <w:rFonts w:hint="eastAsia"/>
          <w:sz w:val="24"/>
          <w:vertAlign w:val="superscript"/>
        </w:rPr>
        <w:t>，</w:t>
      </w:r>
      <w:r>
        <w:rPr>
          <w:sz w:val="24"/>
        </w:rPr>
        <w:t>目前已在我国成功推广养殖</w:t>
      </w:r>
      <w:r>
        <w:rPr>
          <w:rFonts w:hint="eastAsia"/>
          <w:sz w:val="24"/>
        </w:rPr>
        <w:t>，</w:t>
      </w:r>
      <w:r>
        <w:rPr>
          <w:sz w:val="24"/>
        </w:rPr>
        <w:t>并受到了养殖户和消费者的喜爱</w:t>
      </w:r>
      <w:r>
        <w:rPr>
          <w:sz w:val="24"/>
          <w:vertAlign w:val="superscript"/>
        </w:rPr>
        <w:t>[</w:t>
      </w:r>
      <w:r>
        <w:fldChar w:fldCharType="begin"/>
      </w:r>
      <w:r>
        <w:instrText xml:space="preserve"> HYPERLINK \l "bookmark11" </w:instrText>
      </w:r>
      <w:r>
        <w:fldChar w:fldCharType="separate"/>
      </w:r>
      <w:r>
        <w:rPr>
          <w:sz w:val="24"/>
          <w:vertAlign w:val="superscript"/>
        </w:rPr>
        <w:t>6</w:t>
      </w:r>
      <w:r>
        <w:rPr>
          <w:sz w:val="24"/>
          <w:vertAlign w:val="superscript"/>
        </w:rPr>
        <w:fldChar w:fldCharType="end"/>
      </w:r>
      <w:r>
        <w:rPr>
          <w:sz w:val="24"/>
          <w:vertAlign w:val="superscript"/>
        </w:rPr>
        <w:t>]</w:t>
      </w:r>
      <w:r>
        <w:rPr>
          <w:sz w:val="24"/>
        </w:rPr>
        <w:t>。框鳞镜鲤虽是杂食性鱼类</w:t>
      </w:r>
      <w:r>
        <w:rPr>
          <w:rFonts w:hint="eastAsia"/>
          <w:sz w:val="24"/>
        </w:rPr>
        <w:t>，</w:t>
      </w:r>
      <w:r>
        <w:rPr>
          <w:sz w:val="24"/>
        </w:rPr>
        <w:t>但其配合饲料中的鱼粉含量较少</w:t>
      </w:r>
      <w:r>
        <w:rPr>
          <w:rFonts w:hint="eastAsia"/>
          <w:sz w:val="24"/>
        </w:rPr>
        <w:t>，</w:t>
      </w:r>
      <w:r>
        <w:rPr>
          <w:sz w:val="24"/>
        </w:rPr>
        <w:t>而主要使用豆粕作为蛋白源。然而</w:t>
      </w:r>
      <w:r>
        <w:rPr>
          <w:rFonts w:hint="eastAsia"/>
          <w:sz w:val="24"/>
        </w:rPr>
        <w:t>，</w:t>
      </w:r>
      <w:r>
        <w:rPr>
          <w:sz w:val="24"/>
        </w:rPr>
        <w:t>现有研究大多聚焦于小球藻在替代鱼粉方面的应用潜力评估</w:t>
      </w:r>
      <w:r>
        <w:rPr>
          <w:rFonts w:hint="eastAsia"/>
          <w:sz w:val="24"/>
        </w:rPr>
        <w:t>，</w:t>
      </w:r>
      <w:r>
        <w:rPr>
          <w:sz w:val="24"/>
        </w:rPr>
        <w:t>关于其在替代豆粕方面的资料却十分有限。其次</w:t>
      </w:r>
      <w:r>
        <w:rPr>
          <w:rFonts w:hint="eastAsia"/>
          <w:sz w:val="24"/>
        </w:rPr>
        <w:t>，</w:t>
      </w:r>
      <w:r>
        <w:rPr>
          <w:sz w:val="24"/>
        </w:rPr>
        <w:t>如前文所述</w:t>
      </w:r>
      <w:r>
        <w:rPr>
          <w:rFonts w:hint="eastAsia"/>
          <w:sz w:val="24"/>
        </w:rPr>
        <w:t>，</w:t>
      </w:r>
      <w:r>
        <w:rPr>
          <w:sz w:val="24"/>
        </w:rPr>
        <w:t>豆粕已成为我国受制于人的“卡脖子”短板</w:t>
      </w:r>
      <w:r>
        <w:rPr>
          <w:rFonts w:hint="eastAsia"/>
          <w:sz w:val="24"/>
        </w:rPr>
        <w:t>，</w:t>
      </w:r>
      <w:r>
        <w:rPr>
          <w:sz w:val="24"/>
        </w:rPr>
        <w:t>因此</w:t>
      </w:r>
      <w:r>
        <w:rPr>
          <w:rFonts w:hint="eastAsia"/>
          <w:sz w:val="24"/>
        </w:rPr>
        <w:t>，</w:t>
      </w:r>
      <w:r>
        <w:rPr>
          <w:sz w:val="24"/>
        </w:rPr>
        <w:t>评估小球藻作为豆粕替代蛋白源应用于水产饲料</w:t>
      </w:r>
      <w:r>
        <w:rPr>
          <w:rFonts w:hint="eastAsia"/>
          <w:sz w:val="24"/>
        </w:rPr>
        <w:t>，</w:t>
      </w:r>
      <w:r>
        <w:rPr>
          <w:sz w:val="24"/>
        </w:rPr>
        <w:t>对保障国家粮食安全、降低豆粕进口依赖、推动水产养殖业高质量发展十分必要。此外,目前有关小球藻在替代</w:t>
      </w:r>
      <w:r>
        <w:rPr>
          <w:rFonts w:hint="eastAsia"/>
          <w:sz w:val="24"/>
        </w:rPr>
        <w:t>眶鳞镜鲤</w:t>
      </w:r>
      <w:r>
        <w:rPr>
          <w:sz w:val="24"/>
        </w:rPr>
        <w:t>饲料豆粕应用潜力评估的研究也尚未见报道。因此</w:t>
      </w:r>
      <w:r>
        <w:rPr>
          <w:rFonts w:hint="eastAsia"/>
          <w:sz w:val="24"/>
        </w:rPr>
        <w:t>，</w:t>
      </w:r>
      <w:r>
        <w:rPr>
          <w:sz w:val="24"/>
        </w:rPr>
        <w:t>本研究以框鳞镜鲤为研究对象</w:t>
      </w:r>
      <w:r>
        <w:rPr>
          <w:rFonts w:hint="eastAsia"/>
          <w:sz w:val="24"/>
        </w:rPr>
        <w:t>，</w:t>
      </w:r>
      <w:r>
        <w:rPr>
          <w:sz w:val="24"/>
        </w:rPr>
        <w:t>探究小球藻替代饲料豆粕对框鳞镜鲤生长性能、健康状况、肌肉品质及肠道菌群的影响</w:t>
      </w:r>
      <w:r>
        <w:rPr>
          <w:rFonts w:hint="eastAsia"/>
          <w:sz w:val="24"/>
        </w:rPr>
        <w:t>，</w:t>
      </w:r>
      <w:r>
        <w:rPr>
          <w:sz w:val="24"/>
        </w:rPr>
        <w:t>并明确小球藻在替代框鳞镜鲤饲料豆粕的最适比例</w:t>
      </w:r>
      <w:r>
        <w:rPr>
          <w:rFonts w:hint="eastAsia"/>
          <w:sz w:val="24"/>
        </w:rPr>
        <w:t>，</w:t>
      </w:r>
      <w:r>
        <w:rPr>
          <w:sz w:val="24"/>
        </w:rPr>
        <w:t>从而降低饲料中豆粕的添加量</w:t>
      </w:r>
      <w:r>
        <w:rPr>
          <w:rFonts w:hint="eastAsia"/>
          <w:sz w:val="24"/>
        </w:rPr>
        <w:t>，</w:t>
      </w:r>
      <w:r>
        <w:rPr>
          <w:sz w:val="24"/>
        </w:rPr>
        <w:t>为水产饲料新型蛋白源开发和饲用豆粕的减量替代提供参考资料。</w:t>
      </w:r>
    </w:p>
    <w:p w14:paraId="7074E1E0">
      <w:pPr>
        <w:spacing w:line="360" w:lineRule="auto"/>
        <w:ind w:firstLine="480" w:firstLineChars="200"/>
        <w:rPr>
          <w:sz w:val="24"/>
        </w:rPr>
      </w:pPr>
    </w:p>
    <w:p w14:paraId="4F0A3F71">
      <w:pPr>
        <w:spacing w:line="360" w:lineRule="auto"/>
        <w:rPr>
          <w:sz w:val="24"/>
        </w:rPr>
      </w:pPr>
      <w:r>
        <w:rPr>
          <w:sz w:val="24"/>
        </w:rPr>
        <w:t>1  材料与方法</w:t>
      </w:r>
    </w:p>
    <w:p w14:paraId="5730AFA3">
      <w:pPr>
        <w:spacing w:line="360" w:lineRule="auto"/>
        <w:rPr>
          <w:sz w:val="24"/>
        </w:rPr>
      </w:pPr>
      <w:r>
        <w:rPr>
          <w:sz w:val="24"/>
        </w:rPr>
        <w:t>1.1  实验设计</w:t>
      </w:r>
    </w:p>
    <w:p w14:paraId="01CED50A">
      <w:pPr>
        <w:spacing w:line="360" w:lineRule="auto"/>
        <w:ind w:firstLine="480" w:firstLineChars="200"/>
        <w:rPr>
          <w:sz w:val="24"/>
        </w:rPr>
      </w:pPr>
      <w:r>
        <w:rPr>
          <w:sz w:val="24"/>
        </w:rPr>
        <w:t>为探究饲料中小球藻替代豆粕对框鳞镜鲤生长性能、健康状况及肌肉品质的影响，本实验设计了小球藻分别梯度替代框鳞镜鲤饲料0、25%、50%、75%和100%豆粕的共5种实验饲料，分别命名为CV0</w:t>
      </w:r>
      <w:r>
        <w:rPr>
          <w:rFonts w:hint="eastAsia"/>
          <w:sz w:val="24"/>
        </w:rPr>
        <w:t>（</w:t>
      </w:r>
      <w:r>
        <w:rPr>
          <w:sz w:val="24"/>
        </w:rPr>
        <w:t>对照组</w:t>
      </w:r>
      <w:r>
        <w:rPr>
          <w:rFonts w:hint="eastAsia"/>
          <w:sz w:val="24"/>
        </w:rPr>
        <w:t>）</w:t>
      </w:r>
      <w:r>
        <w:rPr>
          <w:sz w:val="24"/>
        </w:rPr>
        <w:t>、CV25、CV50、CV75和CV100。</w:t>
      </w:r>
    </w:p>
    <w:p w14:paraId="76CF856B">
      <w:pPr>
        <w:spacing w:line="360" w:lineRule="auto"/>
        <w:rPr>
          <w:sz w:val="24"/>
        </w:rPr>
      </w:pPr>
      <w:r>
        <w:rPr>
          <w:sz w:val="24"/>
        </w:rPr>
        <w:t>1.2  实验饲料制作</w:t>
      </w:r>
    </w:p>
    <w:p w14:paraId="123E6132">
      <w:pPr>
        <w:spacing w:line="360" w:lineRule="auto"/>
        <w:ind w:firstLine="480" w:firstLineChars="200"/>
        <w:rPr>
          <w:sz w:val="24"/>
        </w:rPr>
      </w:pPr>
      <w:r>
        <w:rPr>
          <w:sz w:val="24"/>
        </w:rPr>
        <w:t>根据鲤配合饲料国家标准</w:t>
      </w:r>
      <w:r>
        <w:rPr>
          <w:rFonts w:hint="eastAsia"/>
          <w:sz w:val="24"/>
        </w:rPr>
        <w:t>（</w:t>
      </w:r>
      <w:r>
        <w:rPr>
          <w:sz w:val="24"/>
        </w:rPr>
        <w:t>GB/T 36782-2018</w:t>
      </w:r>
      <w:r>
        <w:rPr>
          <w:rFonts w:hint="eastAsia"/>
          <w:sz w:val="24"/>
        </w:rPr>
        <w:t>）</w:t>
      </w:r>
      <w:r>
        <w:rPr>
          <w:sz w:val="24"/>
        </w:rPr>
        <w:t>，配制了5种等氮</w:t>
      </w:r>
      <w:r>
        <w:rPr>
          <w:rFonts w:hint="eastAsia"/>
          <w:sz w:val="24"/>
        </w:rPr>
        <w:t>（</w:t>
      </w:r>
      <w:r>
        <w:rPr>
          <w:sz w:val="24"/>
        </w:rPr>
        <w:t>32%</w:t>
      </w:r>
      <w:r>
        <w:rPr>
          <w:rFonts w:hint="eastAsia"/>
          <w:sz w:val="24"/>
        </w:rPr>
        <w:t>）</w:t>
      </w:r>
      <w:r>
        <w:rPr>
          <w:sz w:val="24"/>
        </w:rPr>
        <w:t>等脂</w:t>
      </w:r>
      <w:r>
        <w:rPr>
          <w:rFonts w:hint="eastAsia"/>
          <w:sz w:val="24"/>
        </w:rPr>
        <w:t>（</w:t>
      </w:r>
      <w:r>
        <w:rPr>
          <w:sz w:val="24"/>
        </w:rPr>
        <w:t>7%</w:t>
      </w:r>
      <w:r>
        <w:rPr>
          <w:rFonts w:hint="eastAsia"/>
          <w:sz w:val="24"/>
        </w:rPr>
        <w:t>）</w:t>
      </w:r>
      <w:r>
        <w:rPr>
          <w:sz w:val="24"/>
        </w:rPr>
        <w:t>实验饲料，实验饲料配方如</w:t>
      </w:r>
      <w:r>
        <w:rPr>
          <w:sz w:val="24"/>
        </w:rPr>
        <w:fldChar w:fldCharType="begin"/>
      </w:r>
      <w:r>
        <w:rPr>
          <w:sz w:val="24"/>
        </w:rPr>
        <w:instrText xml:space="preserve"> HYPERLINK \l "bookmark12" </w:instrText>
      </w:r>
      <w:r>
        <w:rPr>
          <w:sz w:val="24"/>
        </w:rPr>
        <w:fldChar w:fldCharType="separate"/>
      </w:r>
      <w:r>
        <w:rPr>
          <w:sz w:val="24"/>
        </w:rPr>
        <w:t>表1</w:t>
      </w:r>
      <w:r>
        <w:rPr>
          <w:sz w:val="24"/>
        </w:rPr>
        <w:fldChar w:fldCharType="end"/>
      </w:r>
      <w:r>
        <w:rPr>
          <w:sz w:val="24"/>
        </w:rPr>
        <w:t>所示。豆粕与小球藻的氨基酸组成见</w:t>
      </w:r>
      <w:r>
        <w:rPr>
          <w:sz w:val="24"/>
        </w:rPr>
        <w:fldChar w:fldCharType="begin"/>
      </w:r>
      <w:r>
        <w:rPr>
          <w:sz w:val="24"/>
        </w:rPr>
        <w:instrText xml:space="preserve"> HYPERLINK \l "bookmark13" </w:instrText>
      </w:r>
      <w:r>
        <w:rPr>
          <w:sz w:val="24"/>
        </w:rPr>
        <w:fldChar w:fldCharType="separate"/>
      </w:r>
      <w:r>
        <w:rPr>
          <w:sz w:val="24"/>
        </w:rPr>
        <w:t>表2</w:t>
      </w:r>
      <w:r>
        <w:rPr>
          <w:sz w:val="24"/>
        </w:rPr>
        <w:fldChar w:fldCharType="end"/>
      </w:r>
      <w:r>
        <w:rPr>
          <w:sz w:val="24"/>
        </w:rPr>
        <w:t>。饲料制作流程参照Li等</w:t>
      </w:r>
      <w:r>
        <w:rPr>
          <w:sz w:val="24"/>
          <w:vertAlign w:val="superscript"/>
        </w:rPr>
        <w:fldChar w:fldCharType="begin"/>
      </w:r>
      <w:r>
        <w:rPr>
          <w:sz w:val="24"/>
          <w:vertAlign w:val="superscript"/>
        </w:rPr>
        <w:instrText xml:space="preserve"> HYPERLINK \l "bookmark15"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"bookmark14" </w:instrText>
      </w:r>
      <w:r>
        <w:fldChar w:fldCharType="separate"/>
      </w:r>
      <w:r>
        <w:rPr>
          <w:sz w:val="24"/>
          <w:vertAlign w:val="superscript"/>
        </w:rPr>
        <w:t>6</w:t>
      </w:r>
      <w:r>
        <w:rPr>
          <w:sz w:val="24"/>
          <w:vertAlign w:val="superscript"/>
        </w:rPr>
        <w:fldChar w:fldCharType="end"/>
      </w:r>
      <w:r>
        <w:rPr>
          <w:sz w:val="24"/>
          <w:vertAlign w:val="superscript"/>
        </w:rPr>
        <w:t>]</w:t>
      </w:r>
      <w:r>
        <w:rPr>
          <w:sz w:val="24"/>
        </w:rPr>
        <w:t>。</w:t>
      </w:r>
    </w:p>
    <w:p w14:paraId="7E23875D">
      <w:pPr>
        <w:spacing w:line="360" w:lineRule="auto"/>
        <w:rPr>
          <w:sz w:val="24"/>
        </w:rPr>
      </w:pPr>
      <w:r>
        <w:drawing>
          <wp:inline distT="0" distB="0" distL="114300" distR="114300">
            <wp:extent cx="5972175" cy="4601845"/>
            <wp:effectExtent l="0" t="0" r="9525" b="8255"/>
            <wp:docPr id="5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3"/>
                    <pic:cNvPicPr>
                      <a:picLocks noChangeAspect="1"/>
                    </pic:cNvPicPr>
                  </pic:nvPicPr>
                  <pic:blipFill>
                    <a:blip r:embed="rId19"/>
                    <a:stretch>
                      <a:fillRect/>
                    </a:stretch>
                  </pic:blipFill>
                  <pic:spPr>
                    <a:xfrm>
                      <a:off x="0" y="0"/>
                      <a:ext cx="5972175" cy="4601845"/>
                    </a:xfrm>
                    <a:prstGeom prst="rect">
                      <a:avLst/>
                    </a:prstGeom>
                    <a:noFill/>
                    <a:ln>
                      <a:noFill/>
                    </a:ln>
                  </pic:spPr>
                </pic:pic>
              </a:graphicData>
            </a:graphic>
          </wp:inline>
        </w:drawing>
      </w:r>
    </w:p>
    <w:p w14:paraId="340CF093">
      <w:pPr>
        <w:spacing w:line="360" w:lineRule="auto"/>
        <w:jc w:val="center"/>
        <w:rPr>
          <w:sz w:val="24"/>
        </w:rPr>
      </w:pPr>
      <w:r>
        <w:drawing>
          <wp:inline distT="0" distB="0" distL="114300" distR="114300">
            <wp:extent cx="3079115" cy="5561965"/>
            <wp:effectExtent l="0" t="0" r="6985" b="635"/>
            <wp:docPr id="5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4"/>
                    <pic:cNvPicPr>
                      <a:picLocks noChangeAspect="1"/>
                    </pic:cNvPicPr>
                  </pic:nvPicPr>
                  <pic:blipFill>
                    <a:blip r:embed="rId20"/>
                    <a:stretch>
                      <a:fillRect/>
                    </a:stretch>
                  </pic:blipFill>
                  <pic:spPr>
                    <a:xfrm>
                      <a:off x="0" y="0"/>
                      <a:ext cx="3079115" cy="5561965"/>
                    </a:xfrm>
                    <a:prstGeom prst="rect">
                      <a:avLst/>
                    </a:prstGeom>
                    <a:noFill/>
                    <a:ln>
                      <a:noFill/>
                    </a:ln>
                  </pic:spPr>
                </pic:pic>
              </a:graphicData>
            </a:graphic>
          </wp:inline>
        </w:drawing>
      </w:r>
    </w:p>
    <w:p w14:paraId="6F75FF8E">
      <w:pPr>
        <w:spacing w:line="360" w:lineRule="auto"/>
        <w:rPr>
          <w:sz w:val="24"/>
        </w:rPr>
      </w:pPr>
      <w:r>
        <w:rPr>
          <w:sz w:val="24"/>
        </w:rPr>
        <w:t>1.3  养殖环境</w:t>
      </w:r>
    </w:p>
    <w:p w14:paraId="1CD9E7B8">
      <w:pPr>
        <w:spacing w:line="360" w:lineRule="auto"/>
        <w:ind w:firstLine="480" w:firstLineChars="200"/>
        <w:rPr>
          <w:sz w:val="24"/>
        </w:rPr>
      </w:pPr>
      <w:r>
        <w:rPr>
          <w:sz w:val="24"/>
        </w:rPr>
        <w:t>养殖实验在安康水产实验示范站</w:t>
      </w:r>
      <w:r>
        <w:rPr>
          <w:rFonts w:hint="eastAsia"/>
          <w:sz w:val="24"/>
        </w:rPr>
        <w:t>（</w:t>
      </w:r>
      <w:r>
        <w:rPr>
          <w:sz w:val="24"/>
        </w:rPr>
        <w:t>海拔280 m，东经108</w:t>
      </w:r>
      <w:r>
        <w:rPr>
          <w:rFonts w:hint="eastAsia"/>
          <w:sz w:val="24"/>
        </w:rPr>
        <w:t>°，</w:t>
      </w:r>
      <w:r>
        <w:rPr>
          <w:sz w:val="24"/>
        </w:rPr>
        <w:t>北纬</w:t>
      </w:r>
      <w:r>
        <w:rPr>
          <w:rFonts w:hint="eastAsia"/>
          <w:sz w:val="24"/>
        </w:rPr>
        <w:t>32°°）</w:t>
      </w:r>
      <w:r>
        <w:rPr>
          <w:sz w:val="24"/>
        </w:rPr>
        <w:t>的室外水泥池中完成。养殖实验所用网箱的尺寸为1.0 m×1.0 m×1.0 m ，网箱的网孔直径为0.5 cm，每个网箱均配备网盖以防止实验鱼逃逸，放置网箱的水泥池水深为0.8 m并配备直径为1.5 m的纳米微孔增氧盘。</w:t>
      </w:r>
    </w:p>
    <w:p w14:paraId="6E9B3E81">
      <w:pPr>
        <w:spacing w:line="360" w:lineRule="auto"/>
        <w:rPr>
          <w:sz w:val="24"/>
        </w:rPr>
      </w:pPr>
      <w:r>
        <w:rPr>
          <w:sz w:val="24"/>
        </w:rPr>
        <w:t>1.4  养殖实验管理和投喂</w:t>
      </w:r>
    </w:p>
    <w:p w14:paraId="54B9D1B3">
      <w:pPr>
        <w:spacing w:line="360" w:lineRule="auto"/>
        <w:ind w:firstLine="480" w:firstLineChars="200"/>
        <w:rPr>
          <w:sz w:val="24"/>
        </w:rPr>
      </w:pPr>
      <w:r>
        <w:rPr>
          <w:sz w:val="24"/>
        </w:rPr>
        <w:t>框鳞镜鲤取自安康水产实验示范站，网箱驯养30 d，驯养期间投喂与实验饲料营养水平一致的商品饲料</w:t>
      </w:r>
      <w:r>
        <w:rPr>
          <w:rFonts w:hint="eastAsia"/>
          <w:sz w:val="24"/>
        </w:rPr>
        <w:t>（</w:t>
      </w:r>
      <w:r>
        <w:rPr>
          <w:sz w:val="24"/>
        </w:rPr>
        <w:t>重庆斯特佳生物科技有限公司</w:t>
      </w:r>
      <w:r>
        <w:rPr>
          <w:rFonts w:hint="eastAsia"/>
          <w:sz w:val="24"/>
        </w:rPr>
        <w:t>）</w:t>
      </w:r>
      <w:r>
        <w:rPr>
          <w:sz w:val="24"/>
        </w:rPr>
        <w:t>。驯养后禁食24 h，挑选450尾</w:t>
      </w:r>
      <w:r>
        <w:rPr>
          <w:rFonts w:hint="eastAsia"/>
          <w:sz w:val="24"/>
        </w:rPr>
        <w:t>（</w:t>
      </w:r>
      <w:r>
        <w:rPr>
          <w:sz w:val="24"/>
        </w:rPr>
        <w:t>初重20.00±0.01 g</w:t>
      </w:r>
      <w:r>
        <w:rPr>
          <w:rFonts w:hint="eastAsia"/>
          <w:sz w:val="24"/>
        </w:rPr>
        <w:t>）</w:t>
      </w:r>
      <w:r>
        <w:rPr>
          <w:sz w:val="24"/>
        </w:rPr>
        <w:t>健康、规格均一</w:t>
      </w:r>
      <w:r>
        <w:rPr>
          <w:rFonts w:hint="eastAsia"/>
          <w:sz w:val="24"/>
        </w:rPr>
        <w:t>的鱼，</w:t>
      </w:r>
      <w:r>
        <w:rPr>
          <w:sz w:val="24"/>
        </w:rPr>
        <w:t>分入15个</w:t>
      </w:r>
      <w:r>
        <w:rPr>
          <w:rFonts w:hint="eastAsia"/>
          <w:sz w:val="24"/>
        </w:rPr>
        <w:t>网箱，每网箱</w:t>
      </w:r>
      <w:r>
        <w:rPr>
          <w:sz w:val="24"/>
        </w:rPr>
        <w:t>30尾</w:t>
      </w:r>
      <w:r>
        <w:rPr>
          <w:rFonts w:hint="eastAsia"/>
          <w:sz w:val="24"/>
        </w:rPr>
        <w:t>（</w:t>
      </w:r>
      <w:r>
        <w:rPr>
          <w:sz w:val="24"/>
        </w:rPr>
        <w:t>30尾/网箱</w:t>
      </w:r>
      <w:r>
        <w:rPr>
          <w:rFonts w:hint="eastAsia"/>
          <w:sz w:val="24"/>
        </w:rPr>
        <w:t>）</w:t>
      </w:r>
      <w:r>
        <w:rPr>
          <w:sz w:val="24"/>
        </w:rPr>
        <w:t>。每种实验饲料随机饲喂3个网箱60 d。每日按体重的3%投喂3次</w:t>
      </w:r>
      <w:r>
        <w:rPr>
          <w:rFonts w:hint="eastAsia"/>
          <w:sz w:val="24"/>
        </w:rPr>
        <w:t>（</w:t>
      </w:r>
      <w:r>
        <w:rPr>
          <w:sz w:val="24"/>
        </w:rPr>
        <w:t>8:00、13:00、18:00</w:t>
      </w:r>
      <w:r>
        <w:rPr>
          <w:rFonts w:hint="eastAsia"/>
          <w:sz w:val="24"/>
        </w:rPr>
        <w:t>）</w:t>
      </w:r>
      <w:r>
        <w:rPr>
          <w:sz w:val="24"/>
        </w:rPr>
        <w:t>，10:00监测水质。实验期间水温23.5</w:t>
      </w:r>
      <w:r>
        <w:rPr>
          <w:rFonts w:hint="eastAsia"/>
          <w:sz w:val="24"/>
        </w:rPr>
        <w:t>～</w:t>
      </w:r>
      <w:r>
        <w:rPr>
          <w:sz w:val="24"/>
        </w:rPr>
        <w:t>31℃</w:t>
      </w:r>
      <w:r>
        <w:rPr>
          <w:rFonts w:hint="eastAsia"/>
          <w:sz w:val="24"/>
        </w:rPr>
        <w:t>，</w:t>
      </w:r>
      <w:r>
        <w:rPr>
          <w:sz w:val="24"/>
        </w:rPr>
        <w:t>氨态氮&lt;0.5 mg/L，亚硝态氮&lt;0.05 mg/L，硫化物&lt;0.05 mg/L，pH 7.1</w:t>
      </w:r>
      <w:r>
        <w:rPr>
          <w:rFonts w:hint="eastAsia"/>
          <w:sz w:val="24"/>
        </w:rPr>
        <w:t>～</w:t>
      </w:r>
      <w:r>
        <w:rPr>
          <w:sz w:val="24"/>
        </w:rPr>
        <w:t>8.2，溶解氧&gt;7 mg/L。</w:t>
      </w:r>
    </w:p>
    <w:p w14:paraId="77AE9D29">
      <w:pPr>
        <w:spacing w:line="360" w:lineRule="auto"/>
        <w:rPr>
          <w:sz w:val="24"/>
        </w:rPr>
      </w:pPr>
      <w:r>
        <w:rPr>
          <w:sz w:val="24"/>
        </w:rPr>
        <w:t>1.5  样品采集</w:t>
      </w:r>
    </w:p>
    <w:p w14:paraId="00D025A2">
      <w:pPr>
        <w:spacing w:line="360" w:lineRule="auto"/>
        <w:ind w:firstLine="480" w:firstLineChars="200"/>
        <w:rPr>
          <w:sz w:val="24"/>
        </w:rPr>
      </w:pPr>
      <w:r>
        <w:rPr>
          <w:sz w:val="24"/>
        </w:rPr>
        <w:t>养殖实验开始时，取9尾规格一致的框鳞镜鲤，</w:t>
      </w:r>
      <w:r>
        <w:rPr>
          <w:rFonts w:hint="eastAsia"/>
          <w:sz w:val="24"/>
        </w:rPr>
        <w:t>-</w:t>
      </w:r>
      <w:r>
        <w:rPr>
          <w:sz w:val="24"/>
        </w:rPr>
        <w:t>20℃保存，用于初始营养成分检测</w:t>
      </w:r>
      <w:r>
        <w:rPr>
          <w:rFonts w:hint="eastAsia"/>
          <w:sz w:val="24"/>
        </w:rPr>
        <w:t>。</w:t>
      </w:r>
      <w:r>
        <w:rPr>
          <w:sz w:val="24"/>
        </w:rPr>
        <w:t>养殖结束后，所有鱼禁食24 h，捞出后用MS222</w:t>
      </w:r>
      <w:r>
        <w:rPr>
          <w:rFonts w:hint="eastAsia"/>
          <w:sz w:val="24"/>
        </w:rPr>
        <w:t>（</w:t>
      </w:r>
      <w:r>
        <w:rPr>
          <w:sz w:val="24"/>
        </w:rPr>
        <w:t>50 mg/L</w:t>
      </w:r>
      <w:r>
        <w:rPr>
          <w:rFonts w:hint="eastAsia"/>
          <w:sz w:val="24"/>
        </w:rPr>
        <w:t>）</w:t>
      </w:r>
      <w:r>
        <w:rPr>
          <w:sz w:val="24"/>
        </w:rPr>
        <w:t>麻醉，逐尾测量体长、全长和体重，记录各网箱尾数</w:t>
      </w:r>
      <w:r>
        <w:rPr>
          <w:rFonts w:hint="eastAsia"/>
          <w:sz w:val="24"/>
        </w:rPr>
        <w:t>，</w:t>
      </w:r>
      <w:r>
        <w:rPr>
          <w:sz w:val="24"/>
        </w:rPr>
        <w:t>用于计算生长与形体指标。随后，每个网箱按以下顺序取样：随机取2尾全鱼，</w:t>
      </w:r>
      <w:r>
        <w:rPr>
          <w:rFonts w:hint="eastAsia"/>
          <w:sz w:val="24"/>
        </w:rPr>
        <w:t>-</w:t>
      </w:r>
      <w:r>
        <w:rPr>
          <w:sz w:val="24"/>
        </w:rPr>
        <w:t>20℃保存，备全鱼营养成分分析；随机取3尾静脉采血，3500 r/min离心15 min制备血清，液氮速冻后转</w:t>
      </w:r>
      <w:r>
        <w:rPr>
          <w:rFonts w:hint="eastAsia"/>
          <w:sz w:val="24"/>
        </w:rPr>
        <w:t>-</w:t>
      </w:r>
      <w:r>
        <w:rPr>
          <w:sz w:val="24"/>
        </w:rPr>
        <w:t>80℃保存；随机取6尾，冰上无菌解剖，分离肝、肠并称重，各均分为两份，分装于2 mL无菌冷冻管，一份液氮速冻后</w:t>
      </w:r>
      <w:r>
        <w:rPr>
          <w:rFonts w:hint="eastAsia"/>
          <w:sz w:val="24"/>
        </w:rPr>
        <w:t>-</w:t>
      </w:r>
      <w:r>
        <w:rPr>
          <w:sz w:val="24"/>
        </w:rPr>
        <w:t>80℃保存，用于肠道消化酶、肠道抗氧化及肝脏抗氧化指标检测，另一份留作组织病理切片；另取6尾，分割两侧背肌，液氮速冻后</w:t>
      </w:r>
      <w:r>
        <w:rPr>
          <w:rFonts w:hint="eastAsia"/>
          <w:sz w:val="24"/>
        </w:rPr>
        <w:t>-</w:t>
      </w:r>
      <w:r>
        <w:rPr>
          <w:sz w:val="24"/>
        </w:rPr>
        <w:t>80℃保存，用于肌肉氨基酸与脂肪酸检测；另取3尾，分割左侧侧线以上全部背肌用于质构检测，并取黄豆粒大小肌肉固定于4%多聚甲醛；另取3尾，取侧线以上左右两侧背肌用于肉色测定；最后取4尾，收集肠道内容物于无酶1.5 mL离心管，液氮速冻后</w:t>
      </w:r>
      <w:r>
        <w:rPr>
          <w:rFonts w:hint="eastAsia"/>
          <w:sz w:val="24"/>
        </w:rPr>
        <w:t>-</w:t>
      </w:r>
      <w:r>
        <w:rPr>
          <w:sz w:val="24"/>
        </w:rPr>
        <w:t>80℃保存，用于16SrRNA分析。</w:t>
      </w:r>
    </w:p>
    <w:p w14:paraId="4C407584">
      <w:pPr>
        <w:spacing w:line="360" w:lineRule="auto"/>
        <w:rPr>
          <w:sz w:val="24"/>
        </w:rPr>
      </w:pPr>
      <w:r>
        <w:rPr>
          <w:sz w:val="24"/>
        </w:rPr>
        <w:t>1.6  样品检测</w:t>
      </w:r>
    </w:p>
    <w:p w14:paraId="5FE93599">
      <w:pPr>
        <w:spacing w:line="360" w:lineRule="auto"/>
        <w:ind w:firstLine="480" w:firstLineChars="200"/>
        <w:rPr>
          <w:sz w:val="24"/>
        </w:rPr>
      </w:pPr>
      <w:r>
        <w:rPr>
          <w:sz w:val="24"/>
        </w:rPr>
        <w:t>营养成分测定  样品的水分、粗蛋白、粗脂肪及灰分检测分别参照GB/T 6435-2014、GB/T 6432-2018、GB/T 6433-2006和GB/T 6438-2007标准方法执行。</w:t>
      </w:r>
    </w:p>
    <w:p w14:paraId="10BA226D">
      <w:pPr>
        <w:spacing w:line="360" w:lineRule="auto"/>
        <w:ind w:firstLine="480" w:firstLineChars="200"/>
        <w:rPr>
          <w:sz w:val="24"/>
        </w:rPr>
      </w:pPr>
      <w:r>
        <w:rPr>
          <w:sz w:val="24"/>
        </w:rPr>
        <w:t>血清生化指标检测  用全自动生化分析仪</w:t>
      </w:r>
      <w:r>
        <w:rPr>
          <w:rFonts w:hint="eastAsia"/>
          <w:sz w:val="24"/>
        </w:rPr>
        <w:t>（</w:t>
      </w:r>
      <w:r>
        <w:rPr>
          <w:sz w:val="24"/>
        </w:rPr>
        <w:t>Hitachi 7180</w:t>
      </w:r>
      <w:r>
        <w:rPr>
          <w:rFonts w:hint="eastAsia"/>
          <w:sz w:val="24"/>
        </w:rPr>
        <w:t>）</w:t>
      </w:r>
      <w:r>
        <w:rPr>
          <w:sz w:val="24"/>
        </w:rPr>
        <w:t>检测</w:t>
      </w:r>
      <w:r>
        <w:rPr>
          <w:rFonts w:hint="eastAsia"/>
          <w:sz w:val="24"/>
        </w:rPr>
        <w:t>人血清白蛋白（</w:t>
      </w:r>
      <w:r>
        <w:rPr>
          <w:sz w:val="24"/>
        </w:rPr>
        <w:t>ALB</w:t>
      </w:r>
      <w:r>
        <w:rPr>
          <w:rFonts w:hint="eastAsia"/>
          <w:sz w:val="24"/>
        </w:rPr>
        <w:t>）</w:t>
      </w:r>
      <w:r>
        <w:rPr>
          <w:sz w:val="24"/>
        </w:rPr>
        <w:t>、谷丙</w:t>
      </w:r>
      <w:r>
        <w:rPr>
          <w:rFonts w:hint="eastAsia"/>
          <w:sz w:val="24"/>
        </w:rPr>
        <w:t>转氨酶（ALT）</w:t>
      </w:r>
      <w:r>
        <w:rPr>
          <w:sz w:val="24"/>
        </w:rPr>
        <w:t>、碱性磷酸酶</w:t>
      </w:r>
      <w:r>
        <w:rPr>
          <w:rFonts w:hint="eastAsia"/>
          <w:sz w:val="24"/>
        </w:rPr>
        <w:t>（</w:t>
      </w:r>
      <w:r>
        <w:rPr>
          <w:sz w:val="24"/>
        </w:rPr>
        <w:t>ALP</w:t>
      </w:r>
      <w:r>
        <w:rPr>
          <w:rFonts w:hint="eastAsia"/>
          <w:sz w:val="24"/>
        </w:rPr>
        <w:t>）</w:t>
      </w:r>
      <w:r>
        <w:rPr>
          <w:sz w:val="24"/>
        </w:rPr>
        <w:t>、谷草转氨酶</w:t>
      </w:r>
      <w:r>
        <w:rPr>
          <w:rFonts w:hint="eastAsia"/>
          <w:sz w:val="24"/>
        </w:rPr>
        <w:t>（</w:t>
      </w:r>
      <w:r>
        <w:rPr>
          <w:sz w:val="24"/>
        </w:rPr>
        <w:t>AST</w:t>
      </w:r>
      <w:r>
        <w:rPr>
          <w:rFonts w:hint="eastAsia"/>
          <w:sz w:val="24"/>
        </w:rPr>
        <w:t>）</w:t>
      </w:r>
      <w:r>
        <w:rPr>
          <w:sz w:val="24"/>
        </w:rPr>
        <w:t>、总蛋白</w:t>
      </w:r>
      <w:r>
        <w:rPr>
          <w:rFonts w:hint="eastAsia"/>
          <w:sz w:val="24"/>
        </w:rPr>
        <w:t>（</w:t>
      </w:r>
      <w:r>
        <w:rPr>
          <w:sz w:val="24"/>
        </w:rPr>
        <w:t>TP</w:t>
      </w:r>
      <w:r>
        <w:rPr>
          <w:rFonts w:hint="eastAsia"/>
          <w:sz w:val="24"/>
        </w:rPr>
        <w:t>）</w:t>
      </w:r>
      <w:r>
        <w:rPr>
          <w:sz w:val="24"/>
        </w:rPr>
        <w:t>及谷氨酰转移酶</w:t>
      </w:r>
      <w:r>
        <w:rPr>
          <w:rFonts w:hint="eastAsia"/>
          <w:sz w:val="24"/>
        </w:rPr>
        <w:t>（</w:t>
      </w:r>
      <w:r>
        <w:rPr>
          <w:sz w:val="24"/>
        </w:rPr>
        <w:t>GGT</w:t>
      </w:r>
      <w:r>
        <w:rPr>
          <w:rFonts w:hint="eastAsia"/>
          <w:sz w:val="24"/>
        </w:rPr>
        <w:t>）</w:t>
      </w:r>
      <w:r>
        <w:rPr>
          <w:sz w:val="24"/>
        </w:rPr>
        <w:t>。</w:t>
      </w:r>
    </w:p>
    <w:p w14:paraId="4FC75C08">
      <w:pPr>
        <w:spacing w:line="360" w:lineRule="auto"/>
        <w:ind w:firstLine="480" w:firstLineChars="200"/>
        <w:rPr>
          <w:sz w:val="24"/>
        </w:rPr>
      </w:pPr>
      <w:r>
        <w:rPr>
          <w:sz w:val="24"/>
        </w:rPr>
        <w:t>肠道消化酶活性测定  用南京建成生物工程</w:t>
      </w:r>
      <w:r>
        <w:rPr>
          <w:rFonts w:hint="eastAsia"/>
          <w:sz w:val="24"/>
        </w:rPr>
        <w:t>研究所</w:t>
      </w:r>
      <w:r>
        <w:rPr>
          <w:sz w:val="24"/>
        </w:rPr>
        <w:t>的试剂盒检测肠道胰蛋白酶</w:t>
      </w:r>
      <w:r>
        <w:rPr>
          <w:rFonts w:hint="eastAsia"/>
          <w:sz w:val="24"/>
        </w:rPr>
        <w:t>（</w:t>
      </w:r>
      <w:r>
        <w:rPr>
          <w:sz w:val="24"/>
        </w:rPr>
        <w:t>Trypsin</w:t>
      </w:r>
      <w:r>
        <w:rPr>
          <w:rFonts w:hint="eastAsia"/>
          <w:sz w:val="24"/>
        </w:rPr>
        <w:t>）</w:t>
      </w:r>
      <w:r>
        <w:rPr>
          <w:sz w:val="24"/>
        </w:rPr>
        <w:t xml:space="preserve"> 、α-淀粉酶</w:t>
      </w:r>
      <w:r>
        <w:rPr>
          <w:rFonts w:hint="eastAsia"/>
          <w:sz w:val="24"/>
        </w:rPr>
        <w:t>（</w:t>
      </w:r>
      <w:r>
        <w:rPr>
          <w:sz w:val="24"/>
        </w:rPr>
        <w:t>α-Amylase</w:t>
      </w:r>
      <w:r>
        <w:rPr>
          <w:rFonts w:hint="eastAsia"/>
          <w:sz w:val="24"/>
        </w:rPr>
        <w:t>）</w:t>
      </w:r>
      <w:r>
        <w:rPr>
          <w:sz w:val="24"/>
        </w:rPr>
        <w:t>和脂肪酶</w:t>
      </w:r>
      <w:r>
        <w:rPr>
          <w:rFonts w:hint="eastAsia"/>
          <w:sz w:val="24"/>
        </w:rPr>
        <w:t>（</w:t>
      </w:r>
      <w:r>
        <w:rPr>
          <w:sz w:val="24"/>
        </w:rPr>
        <w:t>Lipase</w:t>
      </w:r>
      <w:r>
        <w:rPr>
          <w:rFonts w:hint="eastAsia"/>
          <w:sz w:val="24"/>
        </w:rPr>
        <w:t>）</w:t>
      </w:r>
      <w:r>
        <w:rPr>
          <w:sz w:val="24"/>
        </w:rPr>
        <w:t>。</w:t>
      </w:r>
    </w:p>
    <w:p w14:paraId="2E226DBB">
      <w:pPr>
        <w:spacing w:line="360" w:lineRule="auto"/>
        <w:ind w:firstLine="480" w:firstLineChars="200"/>
        <w:rPr>
          <w:sz w:val="24"/>
        </w:rPr>
      </w:pPr>
      <w:r>
        <w:rPr>
          <w:sz w:val="24"/>
        </w:rPr>
        <w:t>抗氧化能力测定  用南京建成生物工程</w:t>
      </w:r>
      <w:r>
        <w:rPr>
          <w:rFonts w:hint="eastAsia"/>
          <w:sz w:val="24"/>
        </w:rPr>
        <w:t>研究所</w:t>
      </w:r>
      <w:r>
        <w:rPr>
          <w:sz w:val="24"/>
        </w:rPr>
        <w:t>的试剂盒检测肝脏与肠道总抗氧化能力</w:t>
      </w:r>
      <w:r>
        <w:rPr>
          <w:rFonts w:hint="eastAsia"/>
          <w:sz w:val="24"/>
        </w:rPr>
        <w:t>（</w:t>
      </w:r>
      <w:r>
        <w:rPr>
          <w:sz w:val="24"/>
        </w:rPr>
        <w:t>T-AOC</w:t>
      </w:r>
      <w:r>
        <w:rPr>
          <w:rFonts w:hint="eastAsia"/>
          <w:sz w:val="24"/>
        </w:rPr>
        <w:t>）</w:t>
      </w:r>
      <w:r>
        <w:rPr>
          <w:sz w:val="24"/>
        </w:rPr>
        <w:t>、过氧化氢酶</w:t>
      </w:r>
      <w:r>
        <w:rPr>
          <w:rFonts w:hint="eastAsia"/>
          <w:sz w:val="24"/>
        </w:rPr>
        <w:t>（</w:t>
      </w:r>
      <w:r>
        <w:rPr>
          <w:sz w:val="24"/>
        </w:rPr>
        <w:t>CAT</w:t>
      </w:r>
      <w:r>
        <w:rPr>
          <w:rFonts w:hint="eastAsia"/>
          <w:sz w:val="24"/>
        </w:rPr>
        <w:t>）</w:t>
      </w:r>
      <w:r>
        <w:rPr>
          <w:sz w:val="24"/>
        </w:rPr>
        <w:t>、超氧化物歧化酶</w:t>
      </w:r>
      <w:r>
        <w:rPr>
          <w:rFonts w:hint="eastAsia"/>
          <w:sz w:val="24"/>
        </w:rPr>
        <w:t>（</w:t>
      </w:r>
      <w:r>
        <w:rPr>
          <w:sz w:val="24"/>
        </w:rPr>
        <w:t>SOD</w:t>
      </w:r>
      <w:r>
        <w:rPr>
          <w:rFonts w:hint="eastAsia"/>
          <w:sz w:val="24"/>
        </w:rPr>
        <w:t>）</w:t>
      </w:r>
      <w:r>
        <w:rPr>
          <w:sz w:val="24"/>
        </w:rPr>
        <w:t>及丙二醛</w:t>
      </w:r>
      <w:r>
        <w:rPr>
          <w:rFonts w:hint="eastAsia"/>
          <w:sz w:val="24"/>
        </w:rPr>
        <w:t>（</w:t>
      </w:r>
      <w:r>
        <w:rPr>
          <w:sz w:val="24"/>
        </w:rPr>
        <w:t>MDA</w:t>
      </w:r>
      <w:r>
        <w:rPr>
          <w:rFonts w:hint="eastAsia"/>
          <w:sz w:val="24"/>
        </w:rPr>
        <w:t>）</w:t>
      </w:r>
      <w:r>
        <w:rPr>
          <w:sz w:val="24"/>
        </w:rPr>
        <w:t>。</w:t>
      </w:r>
    </w:p>
    <w:p w14:paraId="79D87C11">
      <w:pPr>
        <w:spacing w:line="360" w:lineRule="auto"/>
        <w:ind w:firstLine="480" w:firstLineChars="200"/>
        <w:rPr>
          <w:sz w:val="24"/>
        </w:rPr>
      </w:pPr>
      <w:r>
        <w:rPr>
          <w:sz w:val="24"/>
        </w:rPr>
        <w:t>肝脏、肠道、肌肉组织学特性观察  样品的固定、脱水、石蜡包埋、切片制作、苏木精−伊红</w:t>
      </w:r>
      <w:r>
        <w:rPr>
          <w:rFonts w:hint="eastAsia"/>
          <w:sz w:val="24"/>
        </w:rPr>
        <w:t>（</w:t>
      </w:r>
      <w:r>
        <w:rPr>
          <w:sz w:val="24"/>
        </w:rPr>
        <w:t>HE</w:t>
      </w:r>
      <w:r>
        <w:rPr>
          <w:rFonts w:hint="eastAsia"/>
          <w:sz w:val="24"/>
        </w:rPr>
        <w:t>）</w:t>
      </w:r>
      <w:r>
        <w:rPr>
          <w:sz w:val="24"/>
        </w:rPr>
        <w:t>染色、图像采集、数据处理采用Li等[</w:t>
      </w:r>
      <w:r>
        <w:fldChar w:fldCharType="begin"/>
      </w:r>
      <w:r>
        <w:instrText xml:space="preserve"> HYPERLINK \l "bookmark16" </w:instrText>
      </w:r>
      <w:r>
        <w:fldChar w:fldCharType="separate"/>
      </w:r>
      <w:r>
        <w:rPr>
          <w:sz w:val="24"/>
        </w:rPr>
        <w:t>6</w:t>
      </w:r>
      <w:r>
        <w:rPr>
          <w:sz w:val="24"/>
        </w:rPr>
        <w:fldChar w:fldCharType="end"/>
      </w:r>
      <w:r>
        <w:rPr>
          <w:sz w:val="24"/>
        </w:rPr>
        <w:t>]描述的方法。</w:t>
      </w:r>
    </w:p>
    <w:p w14:paraId="011C8FEA">
      <w:pPr>
        <w:spacing w:line="360" w:lineRule="auto"/>
        <w:ind w:firstLine="480" w:firstLineChars="200"/>
        <w:rPr>
          <w:sz w:val="24"/>
        </w:rPr>
      </w:pPr>
      <w:r>
        <w:rPr>
          <w:sz w:val="24"/>
        </w:rPr>
        <w:t>肌肉脂肪酸测定  准确称取约0.2 g样品，加入5 mL甲醇−氯仿</w:t>
      </w:r>
      <w:r>
        <w:rPr>
          <w:rFonts w:hint="eastAsia"/>
          <w:sz w:val="24"/>
        </w:rPr>
        <w:t>（</w:t>
      </w:r>
      <w:r>
        <w:rPr>
          <w:sz w:val="24"/>
        </w:rPr>
        <w:t>1﹕2</w:t>
      </w:r>
      <w:r>
        <w:rPr>
          <w:rFonts w:hint="eastAsia"/>
          <w:sz w:val="24"/>
        </w:rPr>
        <w:t>）</w:t>
      </w:r>
      <w:r>
        <w:rPr>
          <w:sz w:val="24"/>
        </w:rPr>
        <w:t>混合液和200 μL C11内标</w:t>
      </w:r>
      <w:r>
        <w:rPr>
          <w:rFonts w:hint="eastAsia"/>
          <w:sz w:val="24"/>
        </w:rPr>
        <w:t>（</w:t>
      </w:r>
      <w:r>
        <w:rPr>
          <w:sz w:val="24"/>
        </w:rPr>
        <w:t>0.83 mg/mL</w:t>
      </w:r>
      <w:r>
        <w:rPr>
          <w:rFonts w:hint="eastAsia"/>
          <w:sz w:val="24"/>
        </w:rPr>
        <w:t>）</w:t>
      </w:r>
      <w:r>
        <w:rPr>
          <w:sz w:val="24"/>
        </w:rPr>
        <w:t>，振荡2 h，定量滤纸过滤，滤液中加入4 mL双蒸水，3000 r/min离心5 min。收集有机相，37℃氮吹吹干约40 min，加入1 mL 0.4 mol/L氢氧化钾甲醇溶液，室温甲酯化30 min。再加1 mL色谱纯正己烷，涡旋1 min，加2 mL双蒸水，3000 r/min离心5 min，取上层有机相。使用岛津Nexis GC-2030气相色谱仪、SH-Rt-2560毛细管柱</w:t>
      </w:r>
      <w:r>
        <w:rPr>
          <w:rFonts w:hint="eastAsia"/>
          <w:sz w:val="24"/>
        </w:rPr>
        <w:t>（</w:t>
      </w:r>
      <w:r>
        <w:rPr>
          <w:sz w:val="24"/>
        </w:rPr>
        <w:t>100 m×0.25 mm×0.20 μm</w:t>
      </w:r>
      <w:r>
        <w:rPr>
          <w:rFonts w:hint="eastAsia"/>
          <w:sz w:val="24"/>
        </w:rPr>
        <w:t>）</w:t>
      </w:r>
      <w:r>
        <w:rPr>
          <w:sz w:val="24"/>
        </w:rPr>
        <w:t>进行脂肪酸组分分析。</w:t>
      </w:r>
    </w:p>
    <w:p w14:paraId="3FC9C1AD">
      <w:pPr>
        <w:spacing w:line="360" w:lineRule="auto"/>
        <w:ind w:firstLine="480" w:firstLineChars="200"/>
        <w:rPr>
          <w:sz w:val="24"/>
        </w:rPr>
      </w:pPr>
      <w:r>
        <w:rPr>
          <w:sz w:val="24"/>
        </w:rPr>
        <w:t>氨基酸测定  肌肉和原料氨基酸测定采用氨基酸自动分析仪</w:t>
      </w:r>
      <w:r>
        <w:rPr>
          <w:rFonts w:hint="eastAsia"/>
          <w:sz w:val="24"/>
        </w:rPr>
        <w:t>（</w:t>
      </w:r>
      <w:r>
        <w:rPr>
          <w:sz w:val="24"/>
        </w:rPr>
        <w:t>Hitachi L-8800</w:t>
      </w:r>
      <w:r>
        <w:rPr>
          <w:rFonts w:hint="eastAsia"/>
          <w:sz w:val="24"/>
        </w:rPr>
        <w:t>），分别</w:t>
      </w:r>
      <w:r>
        <w:rPr>
          <w:sz w:val="24"/>
        </w:rPr>
        <w:t>按照GB/T 5009.124-2003、GB/T 18246-2000标准方法开展。</w:t>
      </w:r>
    </w:p>
    <w:p w14:paraId="3A17D022">
      <w:pPr>
        <w:spacing w:line="360" w:lineRule="auto"/>
        <w:ind w:firstLine="480" w:firstLineChars="200"/>
        <w:rPr>
          <w:sz w:val="24"/>
        </w:rPr>
      </w:pPr>
      <w:r>
        <w:rPr>
          <w:sz w:val="24"/>
        </w:rPr>
        <w:t>肌肉质构特性检测  肌肉质构特性参照Li等</w:t>
      </w:r>
      <w:r>
        <w:rPr>
          <w:sz w:val="24"/>
          <w:vertAlign w:val="superscript"/>
        </w:rPr>
        <w:fldChar w:fldCharType="begin"/>
      </w:r>
      <w:r>
        <w:rPr>
          <w:sz w:val="24"/>
          <w:vertAlign w:val="superscript"/>
        </w:rPr>
        <w:instrText xml:space="preserve"> HYPERLINK \l "bookmark18"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"bookmark17" </w:instrText>
      </w:r>
      <w:r>
        <w:fldChar w:fldCharType="separate"/>
      </w:r>
      <w:r>
        <w:rPr>
          <w:sz w:val="24"/>
          <w:vertAlign w:val="superscript"/>
        </w:rPr>
        <w:t>6</w:t>
      </w:r>
      <w:r>
        <w:rPr>
          <w:sz w:val="24"/>
          <w:vertAlign w:val="superscript"/>
        </w:rPr>
        <w:fldChar w:fldCharType="end"/>
      </w:r>
      <w:r>
        <w:rPr>
          <w:sz w:val="24"/>
          <w:vertAlign w:val="superscript"/>
        </w:rPr>
        <w:t>]</w:t>
      </w:r>
      <w:r>
        <w:rPr>
          <w:sz w:val="24"/>
        </w:rPr>
        <w:t>描述的方法进行检测。</w:t>
      </w:r>
    </w:p>
    <w:p w14:paraId="3E9875D4">
      <w:pPr>
        <w:spacing w:line="360" w:lineRule="auto"/>
        <w:ind w:firstLine="480" w:firstLineChars="200"/>
        <w:rPr>
          <w:sz w:val="24"/>
        </w:rPr>
      </w:pPr>
      <w:r>
        <w:rPr>
          <w:sz w:val="24"/>
        </w:rPr>
        <w:t>肌肉肉色检测  肌肉组织经粉碎混匀后，装入透明无色自封袋内抹平，随后使用NS800分光测色仪</w:t>
      </w:r>
      <w:r>
        <w:rPr>
          <w:rFonts w:hint="eastAsia"/>
          <w:sz w:val="24"/>
        </w:rPr>
        <w:t>（</w:t>
      </w:r>
      <w:r>
        <w:rPr>
          <w:sz w:val="24"/>
        </w:rPr>
        <w:t>中国深圳三恩时科技有限公司</w:t>
      </w:r>
      <w:r>
        <w:rPr>
          <w:rFonts w:hint="eastAsia"/>
          <w:sz w:val="24"/>
        </w:rPr>
        <w:t>）</w:t>
      </w:r>
      <w:r>
        <w:rPr>
          <w:sz w:val="24"/>
        </w:rPr>
        <w:t>进行肉色检测。</w:t>
      </w:r>
    </w:p>
    <w:p w14:paraId="79ED18CF">
      <w:pPr>
        <w:spacing w:line="360" w:lineRule="auto"/>
        <w:ind w:firstLine="480" w:firstLineChars="200"/>
        <w:rPr>
          <w:sz w:val="24"/>
        </w:rPr>
      </w:pPr>
      <w:r>
        <w:rPr>
          <w:rFonts w:hint="eastAsia"/>
          <w:sz w:val="24"/>
        </w:rPr>
        <w:t>肠道</w:t>
      </w:r>
      <w:r>
        <w:rPr>
          <w:sz w:val="24"/>
        </w:rPr>
        <w:t>菌群</w:t>
      </w:r>
      <w:r>
        <w:rPr>
          <w:rFonts w:hint="eastAsia"/>
          <w:sz w:val="24"/>
        </w:rPr>
        <w:t>分析：</w:t>
      </w:r>
      <w:r>
        <w:rPr>
          <w:sz w:val="24"/>
        </w:rPr>
        <w:t>总DNA</w:t>
      </w:r>
      <w:r>
        <w:rPr>
          <w:rFonts w:hint="eastAsia"/>
          <w:sz w:val="24"/>
        </w:rPr>
        <w:t>采用</w:t>
      </w:r>
      <w:r>
        <w:rPr>
          <w:sz w:val="24"/>
        </w:rPr>
        <w:t>CretMagTM Power Soil DNA Kit提取，对细菌16S rRNA基因高变区进行PCR扩增，纯化后基于华大DNBSEQ-G99 PE300平台完成高通量测序。后续使用UPARSE软件</w:t>
      </w:r>
      <w:r>
        <w:rPr>
          <w:rFonts w:hint="eastAsia"/>
          <w:sz w:val="24"/>
        </w:rPr>
        <w:t>（</w:t>
      </w:r>
      <w:r>
        <w:rPr>
          <w:sz w:val="24"/>
        </w:rPr>
        <w:t>version 7. 1</w:t>
      </w:r>
      <w:r>
        <w:rPr>
          <w:rFonts w:hint="eastAsia"/>
          <w:sz w:val="24"/>
        </w:rPr>
        <w:t>）</w:t>
      </w:r>
      <w:r>
        <w:rPr>
          <w:sz w:val="24"/>
        </w:rPr>
        <w:t>进行序列拼接、质量过滤、OTU聚类和物种分类注释等生物信息学分析。</w:t>
      </w:r>
    </w:p>
    <w:p w14:paraId="17DDB264">
      <w:pPr>
        <w:spacing w:line="360" w:lineRule="auto"/>
        <w:rPr>
          <w:sz w:val="24"/>
        </w:rPr>
      </w:pPr>
      <w:r>
        <w:rPr>
          <w:sz w:val="24"/>
        </w:rPr>
        <w:t>1.7  数据分析与处理</w:t>
      </w:r>
    </w:p>
    <w:p w14:paraId="2F115D1A">
      <w:pPr>
        <w:spacing w:line="360" w:lineRule="auto"/>
        <w:ind w:firstLine="480" w:firstLineChars="200"/>
        <w:rPr>
          <w:sz w:val="24"/>
        </w:rPr>
      </w:pPr>
      <w:r>
        <w:rPr>
          <w:sz w:val="24"/>
        </w:rPr>
        <w:t>采用SPSS 19.0进行正态性和方差齐性检验</w:t>
      </w:r>
      <w:r>
        <w:rPr>
          <w:rFonts w:hint="eastAsia"/>
          <w:sz w:val="24"/>
        </w:rPr>
        <w:t>，</w:t>
      </w:r>
      <w:r>
        <w:rPr>
          <w:sz w:val="24"/>
        </w:rPr>
        <w:t>方差不齐时经函数转换至方差齐性不显著后，进行单因素方差分析</w:t>
      </w:r>
      <w:r>
        <w:rPr>
          <w:rFonts w:hint="eastAsia"/>
          <w:sz w:val="24"/>
        </w:rPr>
        <w:t>（</w:t>
      </w:r>
      <w:r>
        <w:rPr>
          <w:i/>
          <w:iCs/>
          <w:sz w:val="24"/>
        </w:rPr>
        <w:t>P</w:t>
      </w:r>
      <w:r>
        <w:rPr>
          <w:sz w:val="24"/>
        </w:rPr>
        <w:t>&lt;0.05表示差异显著</w:t>
      </w:r>
      <w:r>
        <w:rPr>
          <w:rFonts w:hint="eastAsia"/>
          <w:sz w:val="24"/>
        </w:rPr>
        <w:t>）</w:t>
      </w:r>
      <w:r>
        <w:rPr>
          <w:sz w:val="24"/>
        </w:rPr>
        <w:t>。对肌肉氨基酸和质构特性结果， 以协方差矩阵法进行主成分分析，解释饲料小球藻添加水平的影响。图表用GraphPad Prism绘制。数据以平均值±标准误</w:t>
      </w:r>
      <w:r>
        <w:rPr>
          <w:rFonts w:hint="eastAsia"/>
          <w:sz w:val="24"/>
        </w:rPr>
        <w:t>（</w:t>
      </w:r>
      <w:r>
        <w:rPr>
          <w:sz w:val="24"/>
        </w:rPr>
        <w:t>mean±SE</w:t>
      </w:r>
      <w:r>
        <w:rPr>
          <w:rFonts w:hint="eastAsia"/>
          <w:sz w:val="24"/>
        </w:rPr>
        <w:t>）</w:t>
      </w:r>
      <w:r>
        <w:rPr>
          <w:sz w:val="24"/>
        </w:rPr>
        <w:t>表示。</w:t>
      </w:r>
    </w:p>
    <w:p w14:paraId="482D7FD1">
      <w:pPr>
        <w:spacing w:line="360" w:lineRule="auto"/>
        <w:ind w:firstLine="480" w:firstLineChars="200"/>
        <w:rPr>
          <w:sz w:val="24"/>
        </w:rPr>
      </w:pPr>
      <w:r>
        <w:rPr>
          <w:sz w:val="24"/>
        </w:rPr>
        <w:t>养殖实验中用于计算框鳞镜鲤的生长性能和形体指标的公式</w:t>
      </w:r>
      <w:r>
        <w:rPr>
          <w:rFonts w:hint="eastAsia"/>
          <w:sz w:val="24"/>
        </w:rPr>
        <w:t>：</w:t>
      </w:r>
    </w:p>
    <w:p w14:paraId="148D58CF">
      <w:pPr>
        <w:spacing w:line="360" w:lineRule="auto"/>
        <w:ind w:firstLine="480" w:firstLineChars="200"/>
        <w:rPr>
          <w:sz w:val="24"/>
        </w:rPr>
      </w:pPr>
      <w:r>
        <w:rPr>
          <w:sz w:val="24"/>
        </w:rPr>
        <w:t>特定生长率</w:t>
      </w:r>
      <w:r>
        <w:rPr>
          <w:rFonts w:hint="eastAsia"/>
          <w:sz w:val="24"/>
        </w:rPr>
        <w:t>（</w:t>
      </w:r>
      <w:r>
        <w:rPr>
          <w:sz w:val="24"/>
        </w:rPr>
        <w:t>Specific growth rate</w:t>
      </w:r>
      <w:r>
        <w:rPr>
          <w:rFonts w:hint="eastAsia"/>
          <w:sz w:val="24"/>
        </w:rPr>
        <w:t>，</w:t>
      </w:r>
      <w:r>
        <w:rPr>
          <w:sz w:val="24"/>
        </w:rPr>
        <w:t>SGR</w:t>
      </w:r>
      <w:r>
        <w:rPr>
          <w:rFonts w:hint="eastAsia"/>
          <w:sz w:val="24"/>
        </w:rPr>
        <w:t>，</w:t>
      </w:r>
      <w:r>
        <w:rPr>
          <w:sz w:val="24"/>
        </w:rPr>
        <w:t>%/d</w:t>
      </w:r>
      <w:r>
        <w:rPr>
          <w:rFonts w:hint="eastAsia"/>
          <w:sz w:val="24"/>
        </w:rPr>
        <w:t>）</w:t>
      </w:r>
      <w:r>
        <w:rPr>
          <w:sz w:val="24"/>
        </w:rPr>
        <w:t>= [ln</w:t>
      </w:r>
      <w:r>
        <w:rPr>
          <w:rFonts w:hint="eastAsia"/>
          <w:sz w:val="24"/>
        </w:rPr>
        <w:t>（</w:t>
      </w:r>
      <w:r>
        <w:rPr>
          <w:sz w:val="24"/>
        </w:rPr>
        <w:t>鱼末均重</w:t>
      </w:r>
      <w:r>
        <w:rPr>
          <w:rFonts w:hint="eastAsia"/>
          <w:sz w:val="24"/>
        </w:rPr>
        <w:t>）</w:t>
      </w:r>
      <w:r>
        <w:rPr>
          <w:sz w:val="24"/>
        </w:rPr>
        <w:t>–ln</w:t>
      </w:r>
      <w:r>
        <w:rPr>
          <w:rFonts w:hint="eastAsia"/>
          <w:sz w:val="24"/>
        </w:rPr>
        <w:t>（</w:t>
      </w:r>
      <w:r>
        <w:rPr>
          <w:sz w:val="24"/>
        </w:rPr>
        <w:t>鱼初均重</w:t>
      </w:r>
      <w:r>
        <w:rPr>
          <w:rFonts w:hint="eastAsia"/>
          <w:sz w:val="24"/>
        </w:rPr>
        <w:t>）</w:t>
      </w:r>
      <w:r>
        <w:rPr>
          <w:sz w:val="24"/>
        </w:rPr>
        <w:t>]/实验天数×100;</w:t>
      </w:r>
    </w:p>
    <w:p w14:paraId="0D94B58C">
      <w:pPr>
        <w:spacing w:line="360" w:lineRule="auto"/>
        <w:ind w:firstLine="480" w:firstLineChars="200"/>
        <w:rPr>
          <w:sz w:val="24"/>
        </w:rPr>
      </w:pPr>
      <w:r>
        <w:rPr>
          <w:sz w:val="24"/>
        </w:rPr>
        <w:t>增重率</w:t>
      </w:r>
      <w:r>
        <w:rPr>
          <w:rFonts w:hint="eastAsia"/>
          <w:sz w:val="24"/>
        </w:rPr>
        <w:t>（</w:t>
      </w:r>
      <w:r>
        <w:rPr>
          <w:sz w:val="24"/>
        </w:rPr>
        <w:t>Weight gain rate</w:t>
      </w:r>
      <w:r>
        <w:rPr>
          <w:rFonts w:hint="eastAsia"/>
          <w:sz w:val="24"/>
        </w:rPr>
        <w:t>，</w:t>
      </w:r>
      <w:r>
        <w:rPr>
          <w:sz w:val="24"/>
        </w:rPr>
        <w:t>WGR</w:t>
      </w:r>
      <w:r>
        <w:rPr>
          <w:rFonts w:hint="eastAsia"/>
          <w:sz w:val="24"/>
        </w:rPr>
        <w:t>，</w:t>
      </w:r>
      <w:r>
        <w:rPr>
          <w:sz w:val="24"/>
        </w:rPr>
        <w:t>%</w:t>
      </w:r>
      <w:r>
        <w:rPr>
          <w:rFonts w:hint="eastAsia"/>
          <w:sz w:val="24"/>
        </w:rPr>
        <w:t>）</w:t>
      </w:r>
      <w:r>
        <w:rPr>
          <w:sz w:val="24"/>
        </w:rPr>
        <w:t>=</w:t>
      </w:r>
      <w:r>
        <w:rPr>
          <w:rFonts w:hint="eastAsia"/>
          <w:sz w:val="24"/>
        </w:rPr>
        <w:t>（</w:t>
      </w:r>
      <w:r>
        <w:rPr>
          <w:sz w:val="24"/>
        </w:rPr>
        <w:t>末重–初重</w:t>
      </w:r>
      <w:r>
        <w:rPr>
          <w:rFonts w:hint="eastAsia"/>
          <w:sz w:val="24"/>
        </w:rPr>
        <w:t>）</w:t>
      </w:r>
      <w:r>
        <w:rPr>
          <w:sz w:val="24"/>
        </w:rPr>
        <w:t>/初重×100</w:t>
      </w:r>
      <w:r>
        <w:rPr>
          <w:rFonts w:hint="eastAsia"/>
          <w:sz w:val="24"/>
        </w:rPr>
        <w:t>；</w:t>
      </w:r>
    </w:p>
    <w:p w14:paraId="1D05861E">
      <w:pPr>
        <w:spacing w:line="360" w:lineRule="auto"/>
        <w:ind w:firstLine="480" w:firstLineChars="200"/>
        <w:rPr>
          <w:sz w:val="24"/>
        </w:rPr>
      </w:pPr>
      <w:r>
        <w:rPr>
          <w:sz w:val="24"/>
        </w:rPr>
        <w:t>饲料系数</w:t>
      </w:r>
      <w:r>
        <w:rPr>
          <w:rFonts w:hint="eastAsia"/>
          <w:sz w:val="24"/>
        </w:rPr>
        <w:t>（</w:t>
      </w:r>
      <w:r>
        <w:rPr>
          <w:sz w:val="24"/>
        </w:rPr>
        <w:t>Feed conversion ratio</w:t>
      </w:r>
      <w:r>
        <w:rPr>
          <w:rFonts w:hint="eastAsia"/>
          <w:sz w:val="24"/>
        </w:rPr>
        <w:t>，</w:t>
      </w:r>
      <w:r>
        <w:rPr>
          <w:sz w:val="24"/>
        </w:rPr>
        <w:t>FCR</w:t>
      </w:r>
      <w:r>
        <w:rPr>
          <w:rFonts w:hint="eastAsia"/>
          <w:sz w:val="24"/>
        </w:rPr>
        <w:t>，</w:t>
      </w:r>
      <w:r>
        <w:rPr>
          <w:sz w:val="24"/>
        </w:rPr>
        <w:t>g/g</w:t>
      </w:r>
      <w:r>
        <w:rPr>
          <w:rFonts w:hint="eastAsia"/>
          <w:sz w:val="24"/>
        </w:rPr>
        <w:t>）</w:t>
      </w:r>
      <w:r>
        <w:rPr>
          <w:sz w:val="24"/>
        </w:rPr>
        <w:t>=投饲总量/体增重</w:t>
      </w:r>
      <w:r>
        <w:rPr>
          <w:rFonts w:hint="eastAsia"/>
          <w:sz w:val="24"/>
        </w:rPr>
        <w:t>；</w:t>
      </w:r>
    </w:p>
    <w:p w14:paraId="77F6E099">
      <w:pPr>
        <w:spacing w:line="360" w:lineRule="auto"/>
        <w:ind w:firstLine="480" w:firstLineChars="200"/>
        <w:rPr>
          <w:sz w:val="24"/>
        </w:rPr>
      </w:pPr>
      <w:r>
        <w:rPr>
          <w:sz w:val="24"/>
        </w:rPr>
        <w:t>蛋白沉积率</w:t>
      </w:r>
      <w:r>
        <w:rPr>
          <w:rFonts w:hint="eastAsia"/>
          <w:sz w:val="24"/>
        </w:rPr>
        <w:t>（</w:t>
      </w:r>
      <w:r>
        <w:rPr>
          <w:sz w:val="24"/>
        </w:rPr>
        <w:t>Protein retention efficiency</w:t>
      </w:r>
      <w:r>
        <w:rPr>
          <w:rFonts w:hint="eastAsia"/>
          <w:sz w:val="24"/>
        </w:rPr>
        <w:t>，</w:t>
      </w:r>
      <w:r>
        <w:rPr>
          <w:sz w:val="24"/>
        </w:rPr>
        <w:t>PRE</w:t>
      </w:r>
      <w:r>
        <w:rPr>
          <w:rFonts w:hint="eastAsia"/>
          <w:sz w:val="24"/>
        </w:rPr>
        <w:t>，</w:t>
      </w:r>
      <w:r>
        <w:rPr>
          <w:sz w:val="24"/>
        </w:rPr>
        <w:t>%</w:t>
      </w:r>
      <w:r>
        <w:rPr>
          <w:rFonts w:hint="eastAsia"/>
          <w:sz w:val="24"/>
        </w:rPr>
        <w:t>）</w:t>
      </w:r>
      <w:r>
        <w:rPr>
          <w:sz w:val="24"/>
        </w:rPr>
        <w:t>=鱼体蛋白沉积量/蛋白质摄入量×100</w:t>
      </w:r>
      <w:r>
        <w:rPr>
          <w:rFonts w:hint="eastAsia"/>
          <w:sz w:val="24"/>
        </w:rPr>
        <w:t>；</w:t>
      </w:r>
    </w:p>
    <w:p w14:paraId="55133428">
      <w:pPr>
        <w:spacing w:line="360" w:lineRule="auto"/>
        <w:ind w:firstLine="480" w:firstLineChars="200"/>
        <w:rPr>
          <w:sz w:val="24"/>
        </w:rPr>
      </w:pPr>
      <w:bookmarkStart w:id="31" w:name="bookmark13"/>
      <w:bookmarkEnd w:id="31"/>
      <w:r>
        <w:rPr>
          <w:sz w:val="24"/>
        </w:rPr>
        <w:t>脂肪沉积率</w:t>
      </w:r>
      <w:r>
        <w:rPr>
          <w:rFonts w:hint="eastAsia"/>
          <w:sz w:val="24"/>
        </w:rPr>
        <w:t>（</w:t>
      </w:r>
      <w:r>
        <w:rPr>
          <w:sz w:val="24"/>
        </w:rPr>
        <w:t>Protein retention efficiency</w:t>
      </w:r>
      <w:r>
        <w:rPr>
          <w:rFonts w:hint="eastAsia"/>
          <w:sz w:val="24"/>
        </w:rPr>
        <w:t>，</w:t>
      </w:r>
      <w:r>
        <w:rPr>
          <w:sz w:val="24"/>
        </w:rPr>
        <w:t>PRE,%</w:t>
      </w:r>
      <w:r>
        <w:rPr>
          <w:rFonts w:hint="eastAsia"/>
          <w:sz w:val="24"/>
        </w:rPr>
        <w:t>）</w:t>
      </w:r>
      <w:r>
        <w:rPr>
          <w:sz w:val="24"/>
        </w:rPr>
        <w:t>=鱼体脂肪沉积量/脂肪摄入量×100</w:t>
      </w:r>
      <w:r>
        <w:rPr>
          <w:rFonts w:hint="eastAsia"/>
          <w:sz w:val="24"/>
        </w:rPr>
        <w:t>；</w:t>
      </w:r>
    </w:p>
    <w:p w14:paraId="5CC4D5FF">
      <w:pPr>
        <w:spacing w:line="360" w:lineRule="auto"/>
        <w:ind w:firstLine="480" w:firstLineChars="200"/>
        <w:rPr>
          <w:sz w:val="24"/>
        </w:rPr>
      </w:pPr>
      <w:r>
        <w:rPr>
          <w:sz w:val="24"/>
        </w:rPr>
        <w:t>脏体比</w:t>
      </w:r>
      <w:r>
        <w:rPr>
          <w:rFonts w:hint="eastAsia"/>
          <w:sz w:val="24"/>
        </w:rPr>
        <w:t>（</w:t>
      </w:r>
      <w:r>
        <w:rPr>
          <w:sz w:val="24"/>
        </w:rPr>
        <w:t>Viscerosomatic index</w:t>
      </w:r>
      <w:r>
        <w:rPr>
          <w:rFonts w:hint="eastAsia"/>
          <w:sz w:val="24"/>
        </w:rPr>
        <w:t>，</w:t>
      </w:r>
      <w:r>
        <w:rPr>
          <w:sz w:val="24"/>
        </w:rPr>
        <w:t>VSI</w:t>
      </w:r>
      <w:r>
        <w:rPr>
          <w:rFonts w:hint="eastAsia"/>
          <w:sz w:val="24"/>
        </w:rPr>
        <w:t>）</w:t>
      </w:r>
      <w:r>
        <w:rPr>
          <w:sz w:val="24"/>
        </w:rPr>
        <w:t>=内脏重/鱼体重×100</w:t>
      </w:r>
      <w:r>
        <w:rPr>
          <w:rFonts w:hint="eastAsia"/>
          <w:sz w:val="24"/>
        </w:rPr>
        <w:t>；</w:t>
      </w:r>
    </w:p>
    <w:p w14:paraId="06526DF5">
      <w:pPr>
        <w:spacing w:line="360" w:lineRule="auto"/>
        <w:ind w:firstLine="480" w:firstLineChars="200"/>
        <w:rPr>
          <w:sz w:val="24"/>
        </w:rPr>
      </w:pPr>
      <w:r>
        <w:rPr>
          <w:sz w:val="24"/>
        </w:rPr>
        <w:t>肥满度</w:t>
      </w:r>
      <w:r>
        <w:rPr>
          <w:rFonts w:hint="eastAsia"/>
          <w:sz w:val="24"/>
        </w:rPr>
        <w:t>（</w:t>
      </w:r>
      <w:r>
        <w:rPr>
          <w:sz w:val="24"/>
        </w:rPr>
        <w:t>Condition factor</w:t>
      </w:r>
      <w:r>
        <w:rPr>
          <w:rFonts w:hint="eastAsia"/>
          <w:sz w:val="24"/>
        </w:rPr>
        <w:t>，</w:t>
      </w:r>
      <w:r>
        <w:rPr>
          <w:sz w:val="24"/>
        </w:rPr>
        <w:t>CF</w:t>
      </w:r>
      <w:r>
        <w:rPr>
          <w:rFonts w:hint="eastAsia"/>
          <w:sz w:val="24"/>
        </w:rPr>
        <w:t>）</w:t>
      </w:r>
      <w:r>
        <w:rPr>
          <w:sz w:val="24"/>
        </w:rPr>
        <w:t>=体重/体长3 ×100</w:t>
      </w:r>
      <w:r>
        <w:rPr>
          <w:rFonts w:hint="eastAsia"/>
          <w:sz w:val="24"/>
        </w:rPr>
        <w:t>；</w:t>
      </w:r>
    </w:p>
    <w:p w14:paraId="23510D13">
      <w:pPr>
        <w:spacing w:line="360" w:lineRule="auto"/>
        <w:ind w:firstLine="480" w:firstLineChars="200"/>
        <w:rPr>
          <w:sz w:val="24"/>
        </w:rPr>
      </w:pPr>
      <w:r>
        <w:rPr>
          <w:sz w:val="24"/>
        </w:rPr>
        <w:t>肝体比</w:t>
      </w:r>
      <w:r>
        <w:rPr>
          <w:rFonts w:hint="eastAsia"/>
          <w:sz w:val="24"/>
        </w:rPr>
        <w:t>（</w:t>
      </w:r>
      <w:r>
        <w:rPr>
          <w:sz w:val="24"/>
        </w:rPr>
        <w:t>Hepatosomatic index</w:t>
      </w:r>
      <w:r>
        <w:rPr>
          <w:rFonts w:hint="eastAsia"/>
          <w:sz w:val="24"/>
        </w:rPr>
        <w:t>，</w:t>
      </w:r>
      <w:r>
        <w:rPr>
          <w:sz w:val="24"/>
        </w:rPr>
        <w:t>HSI</w:t>
      </w:r>
      <w:r>
        <w:rPr>
          <w:rFonts w:hint="eastAsia"/>
          <w:sz w:val="24"/>
        </w:rPr>
        <w:t>）</w:t>
      </w:r>
      <w:r>
        <w:rPr>
          <w:sz w:val="24"/>
        </w:rPr>
        <w:t>=肝脏重/鱼体重×100。</w:t>
      </w:r>
    </w:p>
    <w:p w14:paraId="776F46CC">
      <w:pPr>
        <w:spacing w:line="360" w:lineRule="auto"/>
        <w:rPr>
          <w:sz w:val="24"/>
        </w:rPr>
      </w:pPr>
      <w:r>
        <w:rPr>
          <w:sz w:val="24"/>
        </w:rPr>
        <w:t>2   结果</w:t>
      </w:r>
    </w:p>
    <w:p w14:paraId="02FC0975">
      <w:pPr>
        <w:spacing w:line="360" w:lineRule="auto"/>
        <w:rPr>
          <w:sz w:val="24"/>
        </w:rPr>
      </w:pPr>
      <w:r>
        <w:rPr>
          <w:sz w:val="24"/>
        </w:rPr>
        <w:t>2.1  小球藻替代饲料豆粕对框鳞镜鲤生长性能和形体指标的影响</w:t>
      </w:r>
    </w:p>
    <w:p w14:paraId="1A037F09">
      <w:pPr>
        <w:spacing w:line="360" w:lineRule="auto"/>
        <w:ind w:firstLine="480" w:firstLineChars="200"/>
        <w:rPr>
          <w:sz w:val="24"/>
        </w:rPr>
      </w:pPr>
      <w:r>
        <w:rPr>
          <w:sz w:val="24"/>
        </w:rPr>
        <w:t>由</w:t>
      </w:r>
      <w:r>
        <w:fldChar w:fldCharType="begin"/>
      </w:r>
      <w:r>
        <w:instrText xml:space="preserve"> HYPERLINK \l "bookmark19" </w:instrText>
      </w:r>
      <w:r>
        <w:fldChar w:fldCharType="separate"/>
      </w:r>
      <w:r>
        <w:rPr>
          <w:sz w:val="24"/>
        </w:rPr>
        <w:t>表3</w:t>
      </w:r>
      <w:r>
        <w:rPr>
          <w:sz w:val="24"/>
        </w:rPr>
        <w:fldChar w:fldCharType="end"/>
      </w:r>
      <w:r>
        <w:rPr>
          <w:sz w:val="24"/>
        </w:rPr>
        <w:t>可知</w:t>
      </w:r>
      <w:r>
        <w:rPr>
          <w:rFonts w:hint="eastAsia"/>
          <w:sz w:val="24"/>
        </w:rPr>
        <w:t>，</w:t>
      </w:r>
      <w:r>
        <w:rPr>
          <w:sz w:val="24"/>
        </w:rPr>
        <w:t>随着小球藻替代饲料豆粕的比例增加</w:t>
      </w:r>
      <w:r>
        <w:rPr>
          <w:rFonts w:hint="eastAsia"/>
          <w:sz w:val="24"/>
        </w:rPr>
        <w:t>，</w:t>
      </w:r>
      <w:r>
        <w:rPr>
          <w:sz w:val="24"/>
        </w:rPr>
        <w:t>框鳞镜鲤的FBW、WGR、SGR、PRE、LRE呈现先增加后降低的趋势</w:t>
      </w:r>
      <w:r>
        <w:rPr>
          <w:rFonts w:hint="eastAsia"/>
          <w:sz w:val="24"/>
        </w:rPr>
        <w:t>，</w:t>
      </w:r>
      <w:r>
        <w:rPr>
          <w:sz w:val="24"/>
        </w:rPr>
        <w:t>而饲料系数则呈相反的趋势。其中</w:t>
      </w:r>
      <w:r>
        <w:rPr>
          <w:rFonts w:hint="eastAsia"/>
          <w:sz w:val="24"/>
        </w:rPr>
        <w:t>，</w:t>
      </w:r>
      <w:r>
        <w:rPr>
          <w:sz w:val="24"/>
        </w:rPr>
        <w:t>CV50和CV75处理组框鳞镜鲤的末重显著高于对照组</w:t>
      </w:r>
      <w:r>
        <w:rPr>
          <w:rFonts w:hint="eastAsia"/>
          <w:sz w:val="24"/>
        </w:rPr>
        <w:t>（</w:t>
      </w:r>
      <w:r>
        <w:rPr>
          <w:i/>
          <w:iCs/>
          <w:sz w:val="24"/>
        </w:rPr>
        <w:t>P</w:t>
      </w:r>
      <w:r>
        <w:rPr>
          <w:sz w:val="24"/>
        </w:rPr>
        <w:t>&lt;0.05</w:t>
      </w:r>
      <w:r>
        <w:rPr>
          <w:rFonts w:hint="eastAsia"/>
          <w:sz w:val="24"/>
        </w:rPr>
        <w:t>）</w:t>
      </w:r>
      <w:r>
        <w:rPr>
          <w:sz w:val="24"/>
        </w:rPr>
        <w:t>。与对照组相比</w:t>
      </w:r>
      <w:r>
        <w:rPr>
          <w:rFonts w:hint="eastAsia"/>
          <w:sz w:val="24"/>
        </w:rPr>
        <w:t>，</w:t>
      </w:r>
      <w:r>
        <w:rPr>
          <w:sz w:val="24"/>
        </w:rPr>
        <w:t>CV50、CV75、CV100处理组的WGR和SGR显著升高</w:t>
      </w:r>
      <w:r>
        <w:rPr>
          <w:rFonts w:hint="eastAsia"/>
          <w:sz w:val="24"/>
        </w:rPr>
        <w:t>（</w:t>
      </w:r>
      <w:r>
        <w:rPr>
          <w:i/>
          <w:iCs/>
          <w:sz w:val="24"/>
        </w:rPr>
        <w:t>P</w:t>
      </w:r>
      <w:r>
        <w:rPr>
          <w:sz w:val="24"/>
        </w:rPr>
        <w:t>&lt;0.05</w:t>
      </w:r>
      <w:r>
        <w:rPr>
          <w:rFonts w:hint="eastAsia"/>
          <w:sz w:val="24"/>
        </w:rPr>
        <w:t>）</w:t>
      </w:r>
      <w:r>
        <w:rPr>
          <w:sz w:val="24"/>
        </w:rPr>
        <w:t>。另外</w:t>
      </w:r>
      <w:r>
        <w:rPr>
          <w:rFonts w:hint="eastAsia"/>
          <w:sz w:val="24"/>
        </w:rPr>
        <w:t>，</w:t>
      </w:r>
      <w:r>
        <w:rPr>
          <w:sz w:val="24"/>
        </w:rPr>
        <w:t>在饲料利用方面</w:t>
      </w:r>
      <w:r>
        <w:rPr>
          <w:rFonts w:hint="eastAsia"/>
          <w:sz w:val="24"/>
        </w:rPr>
        <w:t>，</w:t>
      </w:r>
      <w:r>
        <w:rPr>
          <w:sz w:val="24"/>
        </w:rPr>
        <w:t>当小球藻替代框鳞镜鲤饲料50%的豆粕时</w:t>
      </w:r>
      <w:r>
        <w:rPr>
          <w:rFonts w:hint="eastAsia"/>
          <w:sz w:val="24"/>
        </w:rPr>
        <w:t>，</w:t>
      </w:r>
      <w:r>
        <w:rPr>
          <w:sz w:val="24"/>
        </w:rPr>
        <w:t>框鳞镜鲤的饲料系数显著低于对照组和CV25处理组</w:t>
      </w:r>
      <w:r>
        <w:rPr>
          <w:rFonts w:hint="eastAsia"/>
          <w:sz w:val="24"/>
        </w:rPr>
        <w:t>（</w:t>
      </w:r>
      <w:r>
        <w:rPr>
          <w:sz w:val="24"/>
        </w:rPr>
        <w:t>P&lt;0.05</w:t>
      </w:r>
      <w:r>
        <w:rPr>
          <w:rFonts w:hint="eastAsia"/>
          <w:sz w:val="24"/>
        </w:rPr>
        <w:t>）</w:t>
      </w:r>
      <w:r>
        <w:rPr>
          <w:sz w:val="24"/>
        </w:rPr>
        <w:t>。此外</w:t>
      </w:r>
      <w:r>
        <w:rPr>
          <w:rFonts w:hint="eastAsia"/>
          <w:sz w:val="24"/>
        </w:rPr>
        <w:t>，</w:t>
      </w:r>
      <w:r>
        <w:rPr>
          <w:sz w:val="24"/>
        </w:rPr>
        <w:t>CV25、CV50和CV75处理组的蛋白沉积率显著高于CV0处理组</w:t>
      </w:r>
      <w:r>
        <w:rPr>
          <w:rFonts w:hint="eastAsia"/>
          <w:sz w:val="24"/>
        </w:rPr>
        <w:t>（</w:t>
      </w:r>
      <w:r>
        <w:rPr>
          <w:i/>
          <w:iCs/>
          <w:sz w:val="24"/>
        </w:rPr>
        <w:t>P</w:t>
      </w:r>
      <w:r>
        <w:rPr>
          <w:sz w:val="24"/>
        </w:rPr>
        <w:t>&lt;0.05</w:t>
      </w:r>
      <w:r>
        <w:rPr>
          <w:rFonts w:hint="eastAsia"/>
          <w:sz w:val="24"/>
        </w:rPr>
        <w:t>）</w:t>
      </w:r>
      <w:r>
        <w:rPr>
          <w:sz w:val="24"/>
        </w:rPr>
        <w:t>。在脂肪沉积率方面</w:t>
      </w:r>
      <w:r>
        <w:rPr>
          <w:rFonts w:hint="eastAsia"/>
          <w:sz w:val="24"/>
        </w:rPr>
        <w:t>，</w:t>
      </w:r>
      <w:r>
        <w:rPr>
          <w:sz w:val="24"/>
        </w:rPr>
        <w:t>所有小球藻添加组的脂肪沉积率均高于对照组</w:t>
      </w:r>
      <w:r>
        <w:rPr>
          <w:rFonts w:hint="eastAsia"/>
          <w:sz w:val="24"/>
        </w:rPr>
        <w:t>（</w:t>
      </w:r>
      <w:r>
        <w:rPr>
          <w:i/>
          <w:iCs/>
          <w:sz w:val="24"/>
        </w:rPr>
        <w:t>P</w:t>
      </w:r>
      <w:r>
        <w:rPr>
          <w:sz w:val="24"/>
        </w:rPr>
        <w:t>&lt;0.05</w:t>
      </w:r>
      <w:r>
        <w:rPr>
          <w:rFonts w:hint="eastAsia"/>
          <w:sz w:val="24"/>
        </w:rPr>
        <w:t>）</w:t>
      </w:r>
      <w:r>
        <w:rPr>
          <w:sz w:val="24"/>
        </w:rPr>
        <w:t>。在形体指标方面</w:t>
      </w:r>
      <w:r>
        <w:rPr>
          <w:rFonts w:hint="eastAsia"/>
          <w:sz w:val="24"/>
        </w:rPr>
        <w:t>，</w:t>
      </w:r>
      <w:r>
        <w:rPr>
          <w:sz w:val="24"/>
        </w:rPr>
        <w:t>饲料中小球藻替代豆粕对框鳞镜鲤肥满度、脏体比和肝体比无影响</w:t>
      </w:r>
      <w:r>
        <w:rPr>
          <w:rFonts w:hint="eastAsia"/>
          <w:sz w:val="24"/>
        </w:rPr>
        <w:t>（</w:t>
      </w:r>
      <w:r>
        <w:rPr>
          <w:i/>
          <w:iCs/>
          <w:sz w:val="24"/>
        </w:rPr>
        <w:t>P</w:t>
      </w:r>
      <w:r>
        <w:rPr>
          <w:sz w:val="24"/>
        </w:rPr>
        <w:t>&gt;0.05</w:t>
      </w:r>
      <w:r>
        <w:rPr>
          <w:rFonts w:hint="eastAsia"/>
          <w:sz w:val="24"/>
        </w:rPr>
        <w:t>）</w:t>
      </w:r>
      <w:r>
        <w:rPr>
          <w:sz w:val="24"/>
        </w:rPr>
        <w:t>。</w:t>
      </w:r>
    </w:p>
    <w:p w14:paraId="132D3239">
      <w:pPr>
        <w:spacing w:line="360" w:lineRule="auto"/>
        <w:rPr>
          <w:sz w:val="24"/>
        </w:rPr>
      </w:pPr>
      <w:r>
        <w:drawing>
          <wp:inline distT="0" distB="0" distL="114300" distR="114300">
            <wp:extent cx="5975350" cy="2556510"/>
            <wp:effectExtent l="0" t="0" r="6350" b="8890"/>
            <wp:docPr id="5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5"/>
                    <pic:cNvPicPr>
                      <a:picLocks noChangeAspect="1"/>
                    </pic:cNvPicPr>
                  </pic:nvPicPr>
                  <pic:blipFill>
                    <a:blip r:embed="rId21"/>
                    <a:stretch>
                      <a:fillRect/>
                    </a:stretch>
                  </pic:blipFill>
                  <pic:spPr>
                    <a:xfrm>
                      <a:off x="0" y="0"/>
                      <a:ext cx="5975350" cy="2556510"/>
                    </a:xfrm>
                    <a:prstGeom prst="rect">
                      <a:avLst/>
                    </a:prstGeom>
                    <a:noFill/>
                    <a:ln>
                      <a:noFill/>
                    </a:ln>
                  </pic:spPr>
                </pic:pic>
              </a:graphicData>
            </a:graphic>
          </wp:inline>
        </w:drawing>
      </w:r>
    </w:p>
    <w:p w14:paraId="47EC76CB">
      <w:pPr>
        <w:spacing w:line="360" w:lineRule="auto"/>
        <w:rPr>
          <w:sz w:val="24"/>
        </w:rPr>
      </w:pPr>
      <w:r>
        <w:drawing>
          <wp:inline distT="0" distB="0" distL="114300" distR="114300">
            <wp:extent cx="5967730" cy="2487295"/>
            <wp:effectExtent l="0" t="0" r="1270" b="1905"/>
            <wp:docPr id="5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6"/>
                    <pic:cNvPicPr>
                      <a:picLocks noChangeAspect="1"/>
                    </pic:cNvPicPr>
                  </pic:nvPicPr>
                  <pic:blipFill>
                    <a:blip r:embed="rId22"/>
                    <a:stretch>
                      <a:fillRect/>
                    </a:stretch>
                  </pic:blipFill>
                  <pic:spPr>
                    <a:xfrm>
                      <a:off x="0" y="0"/>
                      <a:ext cx="5967730" cy="2487295"/>
                    </a:xfrm>
                    <a:prstGeom prst="rect">
                      <a:avLst/>
                    </a:prstGeom>
                    <a:noFill/>
                    <a:ln>
                      <a:noFill/>
                    </a:ln>
                  </pic:spPr>
                </pic:pic>
              </a:graphicData>
            </a:graphic>
          </wp:inline>
        </w:drawing>
      </w:r>
    </w:p>
    <w:p w14:paraId="55962B87">
      <w:pPr>
        <w:spacing w:line="360" w:lineRule="auto"/>
        <w:rPr>
          <w:sz w:val="24"/>
        </w:rPr>
      </w:pPr>
      <w:r>
        <w:rPr>
          <w:sz w:val="24"/>
        </w:rPr>
        <w:t>2.2  小球藻替代饲料豆粕对框鳞镜鲤营养成分的影响</w:t>
      </w:r>
    </w:p>
    <w:p w14:paraId="7D10B574">
      <w:pPr>
        <w:spacing w:line="360" w:lineRule="auto"/>
        <w:ind w:firstLine="480" w:firstLineChars="200"/>
        <w:rPr>
          <w:sz w:val="24"/>
        </w:rPr>
      </w:pPr>
      <w:r>
        <w:rPr>
          <w:sz w:val="24"/>
        </w:rPr>
        <w:t>如</w:t>
      </w:r>
      <w:r>
        <w:fldChar w:fldCharType="begin"/>
      </w:r>
      <w:r>
        <w:instrText xml:space="preserve"> HYPERLINK \l "bookmark20" </w:instrText>
      </w:r>
      <w:r>
        <w:fldChar w:fldCharType="separate"/>
      </w:r>
      <w:r>
        <w:rPr>
          <w:sz w:val="24"/>
        </w:rPr>
        <w:t>表 4</w:t>
      </w:r>
      <w:r>
        <w:rPr>
          <w:sz w:val="24"/>
        </w:rPr>
        <w:fldChar w:fldCharType="end"/>
      </w:r>
      <w:r>
        <w:rPr>
          <w:sz w:val="24"/>
        </w:rPr>
        <w:t>所示</w:t>
      </w:r>
      <w:r>
        <w:rPr>
          <w:rFonts w:hint="eastAsia"/>
          <w:sz w:val="24"/>
        </w:rPr>
        <w:t>，</w:t>
      </w:r>
      <w:r>
        <w:rPr>
          <w:sz w:val="24"/>
        </w:rPr>
        <w:t>CV25、CV50、CV75处理组全鱼粗蛋白及CV50、CV75处理组肌肉粗蛋白含量显著高于CV0处理组</w:t>
      </w:r>
      <w:r>
        <w:rPr>
          <w:rFonts w:hint="eastAsia"/>
          <w:sz w:val="24"/>
        </w:rPr>
        <w:t>（</w:t>
      </w:r>
      <w:r>
        <w:rPr>
          <w:i/>
          <w:iCs/>
          <w:sz w:val="24"/>
        </w:rPr>
        <w:t>P</w:t>
      </w:r>
      <w:r>
        <w:rPr>
          <w:sz w:val="24"/>
        </w:rPr>
        <w:t>&lt;0.05</w:t>
      </w:r>
      <w:r>
        <w:rPr>
          <w:rFonts w:hint="eastAsia"/>
          <w:sz w:val="24"/>
        </w:rPr>
        <w:t>）</w:t>
      </w:r>
      <w:r>
        <w:rPr>
          <w:sz w:val="24"/>
        </w:rPr>
        <w:t>。与对照组</w:t>
      </w:r>
      <w:r>
        <w:rPr>
          <w:rFonts w:hint="eastAsia"/>
          <w:sz w:val="24"/>
        </w:rPr>
        <w:t>（</w:t>
      </w:r>
      <w:r>
        <w:rPr>
          <w:sz w:val="24"/>
        </w:rPr>
        <w:t>CV0</w:t>
      </w:r>
      <w:r>
        <w:rPr>
          <w:rFonts w:hint="eastAsia"/>
          <w:sz w:val="24"/>
        </w:rPr>
        <w:t>）</w:t>
      </w:r>
      <w:r>
        <w:rPr>
          <w:sz w:val="24"/>
        </w:rPr>
        <w:t>相比</w:t>
      </w:r>
      <w:r>
        <w:rPr>
          <w:rFonts w:hint="eastAsia"/>
          <w:sz w:val="24"/>
        </w:rPr>
        <w:t>，</w:t>
      </w:r>
      <w:r>
        <w:rPr>
          <w:sz w:val="24"/>
        </w:rPr>
        <w:t>CV50处理组全鱼粗脂肪及CV25、CV50和CV75处理组肌肉粗脂肪显著升高</w:t>
      </w:r>
      <w:r>
        <w:rPr>
          <w:rFonts w:hint="eastAsia"/>
          <w:sz w:val="24"/>
        </w:rPr>
        <w:t>（</w:t>
      </w:r>
      <w:r>
        <w:rPr>
          <w:i/>
          <w:iCs/>
          <w:sz w:val="24"/>
        </w:rPr>
        <w:t>P</w:t>
      </w:r>
      <w:r>
        <w:rPr>
          <w:sz w:val="24"/>
        </w:rPr>
        <w:t>&lt;0.05</w:t>
      </w:r>
      <w:r>
        <w:rPr>
          <w:rFonts w:hint="eastAsia"/>
          <w:sz w:val="24"/>
        </w:rPr>
        <w:t>）</w:t>
      </w:r>
      <w:r>
        <w:rPr>
          <w:sz w:val="24"/>
        </w:rPr>
        <w:t>。另外</w:t>
      </w:r>
      <w:r>
        <w:rPr>
          <w:rFonts w:hint="eastAsia"/>
          <w:sz w:val="24"/>
        </w:rPr>
        <w:t>，</w:t>
      </w:r>
      <w:r>
        <w:rPr>
          <w:sz w:val="24"/>
        </w:rPr>
        <w:t>CV50处理组全鱼水分显著低于对照组和小球藻完全替代豆粕处理组</w:t>
      </w:r>
      <w:r>
        <w:rPr>
          <w:rFonts w:hint="eastAsia"/>
          <w:sz w:val="24"/>
        </w:rPr>
        <w:t>（</w:t>
      </w:r>
      <w:r>
        <w:rPr>
          <w:i/>
          <w:iCs/>
          <w:sz w:val="24"/>
        </w:rPr>
        <w:t>P</w:t>
      </w:r>
      <w:r>
        <w:rPr>
          <w:sz w:val="24"/>
        </w:rPr>
        <w:t>&lt;0.05</w:t>
      </w:r>
      <w:r>
        <w:rPr>
          <w:rFonts w:hint="eastAsia"/>
          <w:sz w:val="24"/>
        </w:rPr>
        <w:t>）</w:t>
      </w:r>
      <w:r>
        <w:rPr>
          <w:sz w:val="24"/>
        </w:rPr>
        <w:t>。</w:t>
      </w:r>
    </w:p>
    <w:p w14:paraId="050E1410">
      <w:pPr>
        <w:spacing w:line="360" w:lineRule="auto"/>
        <w:rPr>
          <w:sz w:val="24"/>
        </w:rPr>
      </w:pPr>
      <w:r>
        <w:rPr>
          <w:sz w:val="24"/>
        </w:rPr>
        <w:t>2.3  小球藻替代饲料豆粕对框鳞镜鲤血清生化指标的影响</w:t>
      </w:r>
    </w:p>
    <w:p w14:paraId="0824531A">
      <w:pPr>
        <w:spacing w:line="360" w:lineRule="auto"/>
        <w:ind w:firstLine="480" w:firstLineChars="200"/>
        <w:rPr>
          <w:sz w:val="24"/>
        </w:rPr>
      </w:pPr>
      <w:r>
        <w:rPr>
          <w:sz w:val="24"/>
        </w:rPr>
        <w:t>如</w:t>
      </w:r>
      <w:r>
        <w:fldChar w:fldCharType="begin"/>
      </w:r>
      <w:r>
        <w:instrText xml:space="preserve"> HYPERLINK \l "bookmark21" </w:instrText>
      </w:r>
      <w:r>
        <w:fldChar w:fldCharType="separate"/>
      </w:r>
      <w:r>
        <w:rPr>
          <w:sz w:val="24"/>
        </w:rPr>
        <w:t>表5</w:t>
      </w:r>
      <w:r>
        <w:rPr>
          <w:sz w:val="24"/>
        </w:rPr>
        <w:fldChar w:fldCharType="end"/>
      </w:r>
      <w:r>
        <w:rPr>
          <w:sz w:val="24"/>
        </w:rPr>
        <w:t>所示</w:t>
      </w:r>
      <w:r>
        <w:rPr>
          <w:rFonts w:hint="eastAsia"/>
          <w:sz w:val="24"/>
        </w:rPr>
        <w:t>，</w:t>
      </w:r>
      <w:r>
        <w:rPr>
          <w:sz w:val="24"/>
        </w:rPr>
        <w:t>与对照组相比</w:t>
      </w:r>
      <w:r>
        <w:rPr>
          <w:rFonts w:hint="eastAsia"/>
          <w:sz w:val="24"/>
        </w:rPr>
        <w:t>，</w:t>
      </w:r>
      <w:r>
        <w:rPr>
          <w:sz w:val="24"/>
        </w:rPr>
        <w:t>CV50处理组血清碱性磷酸酶含量显著升高</w:t>
      </w:r>
      <w:r>
        <w:rPr>
          <w:rFonts w:hint="eastAsia"/>
          <w:sz w:val="24"/>
        </w:rPr>
        <w:t>（</w:t>
      </w:r>
      <w:r>
        <w:rPr>
          <w:i/>
          <w:iCs/>
          <w:sz w:val="24"/>
        </w:rPr>
        <w:t>P</w:t>
      </w:r>
      <w:r>
        <w:rPr>
          <w:sz w:val="24"/>
        </w:rPr>
        <w:t>&lt;0.05</w:t>
      </w:r>
      <w:r>
        <w:rPr>
          <w:rFonts w:hint="eastAsia"/>
          <w:sz w:val="24"/>
        </w:rPr>
        <w:t>）</w:t>
      </w:r>
      <w:r>
        <w:rPr>
          <w:sz w:val="24"/>
        </w:rPr>
        <w:t>。其次</w:t>
      </w:r>
      <w:r>
        <w:rPr>
          <w:rFonts w:hint="eastAsia"/>
          <w:sz w:val="24"/>
        </w:rPr>
        <w:t>，</w:t>
      </w:r>
      <w:r>
        <w:rPr>
          <w:sz w:val="24"/>
        </w:rPr>
        <w:t>CV50处理组血清谷草转氨酶和谷丙转氨酶含量显著低于对照组和CV100处理组</w:t>
      </w:r>
      <w:r>
        <w:rPr>
          <w:rFonts w:hint="eastAsia"/>
          <w:sz w:val="24"/>
        </w:rPr>
        <w:t>（</w:t>
      </w:r>
      <w:r>
        <w:rPr>
          <w:i/>
          <w:iCs/>
          <w:sz w:val="24"/>
        </w:rPr>
        <w:t>P</w:t>
      </w:r>
      <w:r>
        <w:rPr>
          <w:sz w:val="24"/>
        </w:rPr>
        <w:t>&lt;0.05</w:t>
      </w:r>
      <w:r>
        <w:rPr>
          <w:rFonts w:hint="eastAsia"/>
          <w:sz w:val="24"/>
        </w:rPr>
        <w:t>）</w:t>
      </w:r>
      <w:r>
        <w:rPr>
          <w:sz w:val="24"/>
        </w:rPr>
        <w:t>。CV50和CV75处理组血清TP水平显著低于CV0和CV100处理组</w:t>
      </w:r>
      <w:r>
        <w:rPr>
          <w:rFonts w:hint="eastAsia"/>
          <w:sz w:val="24"/>
        </w:rPr>
        <w:t>（</w:t>
      </w:r>
      <w:r>
        <w:rPr>
          <w:i/>
          <w:iCs/>
          <w:sz w:val="24"/>
        </w:rPr>
        <w:t>P</w:t>
      </w:r>
      <w:r>
        <w:rPr>
          <w:sz w:val="24"/>
        </w:rPr>
        <w:t>&lt;0.05</w:t>
      </w:r>
      <w:r>
        <w:rPr>
          <w:rFonts w:hint="eastAsia"/>
          <w:sz w:val="24"/>
        </w:rPr>
        <w:t>）</w:t>
      </w:r>
      <w:r>
        <w:rPr>
          <w:sz w:val="24"/>
        </w:rPr>
        <w:t>。在谷氨酰转移酶含量方面</w:t>
      </w:r>
      <w:r>
        <w:rPr>
          <w:rFonts w:hint="eastAsia"/>
          <w:sz w:val="24"/>
        </w:rPr>
        <w:t>，</w:t>
      </w:r>
      <w:r>
        <w:rPr>
          <w:sz w:val="24"/>
        </w:rPr>
        <w:t>CV50处理组显著低于CV100处理组</w:t>
      </w:r>
      <w:r>
        <w:rPr>
          <w:rFonts w:hint="eastAsia"/>
          <w:sz w:val="24"/>
        </w:rPr>
        <w:t>（</w:t>
      </w:r>
      <w:r>
        <w:rPr>
          <w:i/>
          <w:iCs/>
          <w:sz w:val="24"/>
        </w:rPr>
        <w:t>P</w:t>
      </w:r>
      <w:r>
        <w:rPr>
          <w:sz w:val="24"/>
        </w:rPr>
        <w:t>&lt;0.05</w:t>
      </w:r>
      <w:r>
        <w:rPr>
          <w:rFonts w:hint="eastAsia"/>
          <w:sz w:val="24"/>
        </w:rPr>
        <w:t>）</w:t>
      </w:r>
      <w:r>
        <w:rPr>
          <w:sz w:val="24"/>
        </w:rPr>
        <w:t>。</w:t>
      </w:r>
    </w:p>
    <w:p w14:paraId="7494C324">
      <w:pPr>
        <w:spacing w:line="360" w:lineRule="auto"/>
        <w:rPr>
          <w:sz w:val="24"/>
        </w:rPr>
      </w:pPr>
      <w:r>
        <w:drawing>
          <wp:inline distT="0" distB="0" distL="114300" distR="114300">
            <wp:extent cx="5975985" cy="1781810"/>
            <wp:effectExtent l="0" t="0" r="5715" b="8890"/>
            <wp:docPr id="5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7"/>
                    <pic:cNvPicPr>
                      <a:picLocks noChangeAspect="1"/>
                    </pic:cNvPicPr>
                  </pic:nvPicPr>
                  <pic:blipFill>
                    <a:blip r:embed="rId23"/>
                    <a:stretch>
                      <a:fillRect/>
                    </a:stretch>
                  </pic:blipFill>
                  <pic:spPr>
                    <a:xfrm>
                      <a:off x="0" y="0"/>
                      <a:ext cx="5975985" cy="1781810"/>
                    </a:xfrm>
                    <a:prstGeom prst="rect">
                      <a:avLst/>
                    </a:prstGeom>
                    <a:noFill/>
                    <a:ln>
                      <a:noFill/>
                    </a:ln>
                  </pic:spPr>
                </pic:pic>
              </a:graphicData>
            </a:graphic>
          </wp:inline>
        </w:drawing>
      </w:r>
    </w:p>
    <w:p w14:paraId="0A0F2CD9">
      <w:pPr>
        <w:spacing w:line="360" w:lineRule="auto"/>
        <w:rPr>
          <w:sz w:val="24"/>
        </w:rPr>
      </w:pPr>
      <w:r>
        <w:rPr>
          <w:sz w:val="24"/>
        </w:rPr>
        <w:t>2.4  小球藻替代饲料豆粕对框鳞镜鲤肠道消化酶活性的影响</w:t>
      </w:r>
    </w:p>
    <w:p w14:paraId="0338428C">
      <w:pPr>
        <w:spacing w:line="360" w:lineRule="auto"/>
        <w:ind w:firstLine="480" w:firstLineChars="200"/>
        <w:rPr>
          <w:sz w:val="24"/>
        </w:rPr>
      </w:pPr>
      <w:r>
        <w:rPr>
          <w:sz w:val="24"/>
        </w:rPr>
        <w:t>从</w:t>
      </w:r>
      <w:r>
        <w:fldChar w:fldCharType="begin"/>
      </w:r>
      <w:r>
        <w:instrText xml:space="preserve"> HYPERLINK \l "bookmark22" </w:instrText>
      </w:r>
      <w:r>
        <w:fldChar w:fldCharType="separate"/>
      </w:r>
      <w:r>
        <w:rPr>
          <w:sz w:val="24"/>
        </w:rPr>
        <w:t>表 6</w:t>
      </w:r>
      <w:r>
        <w:rPr>
          <w:sz w:val="24"/>
        </w:rPr>
        <w:fldChar w:fldCharType="end"/>
      </w:r>
      <w:r>
        <w:rPr>
          <w:sz w:val="24"/>
        </w:rPr>
        <w:t>可知</w:t>
      </w:r>
      <w:r>
        <w:rPr>
          <w:rFonts w:hint="eastAsia"/>
          <w:sz w:val="24"/>
        </w:rPr>
        <w:t>，</w:t>
      </w:r>
      <w:r>
        <w:rPr>
          <w:sz w:val="24"/>
        </w:rPr>
        <w:t>框鳞镜鲤肠道消化酶活性随着小球藻替代饲料豆粕比例的增加先增加后降低。与对照组相比</w:t>
      </w:r>
      <w:r>
        <w:rPr>
          <w:rFonts w:hint="eastAsia"/>
          <w:sz w:val="24"/>
        </w:rPr>
        <w:t>，</w:t>
      </w:r>
      <w:r>
        <w:rPr>
          <w:sz w:val="24"/>
        </w:rPr>
        <w:t>小球藻替代框鳞镜鲤饲料25%和50%的豆粕</w:t>
      </w:r>
      <w:r>
        <w:rPr>
          <w:rFonts w:hint="eastAsia"/>
          <w:sz w:val="24"/>
        </w:rPr>
        <w:t>，</w:t>
      </w:r>
      <w:r>
        <w:rPr>
          <w:sz w:val="24"/>
        </w:rPr>
        <w:t>鱼体肠道α-淀粉酶活性显著提高</w:t>
      </w:r>
      <w:r>
        <w:rPr>
          <w:rFonts w:hint="eastAsia"/>
          <w:sz w:val="24"/>
        </w:rPr>
        <w:t>（</w:t>
      </w:r>
      <w:r>
        <w:rPr>
          <w:i/>
          <w:iCs/>
          <w:sz w:val="24"/>
        </w:rPr>
        <w:t>P</w:t>
      </w:r>
      <w:r>
        <w:rPr>
          <w:sz w:val="24"/>
        </w:rPr>
        <w:t>&lt;0.05</w:t>
      </w:r>
      <w:r>
        <w:rPr>
          <w:rFonts w:hint="eastAsia"/>
          <w:sz w:val="24"/>
        </w:rPr>
        <w:t>）</w:t>
      </w:r>
      <w:r>
        <w:rPr>
          <w:sz w:val="24"/>
        </w:rPr>
        <w:t>。在胰蛋白酶活性方面</w:t>
      </w:r>
      <w:r>
        <w:rPr>
          <w:rFonts w:hint="eastAsia"/>
          <w:sz w:val="24"/>
        </w:rPr>
        <w:t>，</w:t>
      </w:r>
      <w:r>
        <w:rPr>
          <w:sz w:val="24"/>
        </w:rPr>
        <w:t>CV50处理组显著高于CV0和CV100处理组</w:t>
      </w:r>
      <w:r>
        <w:rPr>
          <w:rFonts w:hint="eastAsia"/>
          <w:sz w:val="24"/>
        </w:rPr>
        <w:t>（</w:t>
      </w:r>
      <w:r>
        <w:rPr>
          <w:i/>
          <w:iCs/>
          <w:sz w:val="24"/>
        </w:rPr>
        <w:t>P</w:t>
      </w:r>
      <w:r>
        <w:rPr>
          <w:sz w:val="24"/>
        </w:rPr>
        <w:t>&lt;0.05</w:t>
      </w:r>
      <w:r>
        <w:rPr>
          <w:rFonts w:hint="eastAsia"/>
          <w:sz w:val="24"/>
        </w:rPr>
        <w:t>）</w:t>
      </w:r>
      <w:r>
        <w:rPr>
          <w:sz w:val="24"/>
        </w:rPr>
        <w:t>。此外</w:t>
      </w:r>
      <w:r>
        <w:rPr>
          <w:rFonts w:hint="eastAsia"/>
          <w:sz w:val="24"/>
        </w:rPr>
        <w:t>，</w:t>
      </w:r>
      <w:r>
        <w:rPr>
          <w:sz w:val="24"/>
        </w:rPr>
        <w:t>CV50处理组框鳞镜鲤肠道脂肪酶活性显著升高</w:t>
      </w:r>
      <w:r>
        <w:rPr>
          <w:rFonts w:hint="eastAsia"/>
          <w:sz w:val="24"/>
        </w:rPr>
        <w:t>（</w:t>
      </w:r>
      <w:r>
        <w:rPr>
          <w:i/>
          <w:iCs/>
          <w:sz w:val="24"/>
        </w:rPr>
        <w:t>P</w:t>
      </w:r>
      <w:r>
        <w:rPr>
          <w:sz w:val="24"/>
        </w:rPr>
        <w:t>&lt;0.05</w:t>
      </w:r>
      <w:r>
        <w:rPr>
          <w:rFonts w:hint="eastAsia"/>
          <w:sz w:val="24"/>
        </w:rPr>
        <w:t>）</w:t>
      </w:r>
      <w:r>
        <w:rPr>
          <w:sz w:val="24"/>
        </w:rPr>
        <w:t>。</w:t>
      </w:r>
    </w:p>
    <w:p w14:paraId="205DB3CD">
      <w:pPr>
        <w:spacing w:line="360" w:lineRule="auto"/>
        <w:rPr>
          <w:sz w:val="24"/>
        </w:rPr>
      </w:pPr>
      <w:r>
        <w:drawing>
          <wp:inline distT="0" distB="0" distL="114300" distR="114300">
            <wp:extent cx="5967730" cy="1240790"/>
            <wp:effectExtent l="0" t="0" r="1270" b="3810"/>
            <wp:docPr id="5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8"/>
                    <pic:cNvPicPr>
                      <a:picLocks noChangeAspect="1"/>
                    </pic:cNvPicPr>
                  </pic:nvPicPr>
                  <pic:blipFill>
                    <a:blip r:embed="rId24"/>
                    <a:stretch>
                      <a:fillRect/>
                    </a:stretch>
                  </pic:blipFill>
                  <pic:spPr>
                    <a:xfrm>
                      <a:off x="0" y="0"/>
                      <a:ext cx="5967730" cy="1240790"/>
                    </a:xfrm>
                    <a:prstGeom prst="rect">
                      <a:avLst/>
                    </a:prstGeom>
                    <a:noFill/>
                    <a:ln>
                      <a:noFill/>
                    </a:ln>
                  </pic:spPr>
                </pic:pic>
              </a:graphicData>
            </a:graphic>
          </wp:inline>
        </w:drawing>
      </w:r>
    </w:p>
    <w:p w14:paraId="45C78921">
      <w:pPr>
        <w:spacing w:line="360" w:lineRule="auto"/>
        <w:rPr>
          <w:sz w:val="24"/>
        </w:rPr>
      </w:pPr>
      <w:r>
        <w:rPr>
          <w:sz w:val="24"/>
        </w:rPr>
        <w:t>2.5  小球藻替代饲料豆粕对框鳞镜鲤肠道和肝脏抗氧化能力的影响</w:t>
      </w:r>
    </w:p>
    <w:p w14:paraId="12E496AD">
      <w:pPr>
        <w:spacing w:line="360" w:lineRule="auto"/>
        <w:ind w:firstLine="480" w:firstLineChars="200"/>
        <w:rPr>
          <w:sz w:val="24"/>
        </w:rPr>
      </w:pPr>
      <w:bookmarkStart w:id="32" w:name="bookmark19"/>
      <w:bookmarkEnd w:id="32"/>
      <w:r>
        <w:rPr>
          <w:sz w:val="24"/>
        </w:rPr>
        <w:t>从</w:t>
      </w:r>
      <w:r>
        <w:fldChar w:fldCharType="begin"/>
      </w:r>
      <w:r>
        <w:instrText xml:space="preserve"> HYPERLINK \l "bookmark23" </w:instrText>
      </w:r>
      <w:r>
        <w:fldChar w:fldCharType="separate"/>
      </w:r>
      <w:r>
        <w:rPr>
          <w:sz w:val="24"/>
        </w:rPr>
        <w:t>表 7</w:t>
      </w:r>
      <w:r>
        <w:rPr>
          <w:sz w:val="24"/>
        </w:rPr>
        <w:fldChar w:fldCharType="end"/>
      </w:r>
      <w:r>
        <w:rPr>
          <w:sz w:val="24"/>
        </w:rPr>
        <w:t>可知</w:t>
      </w:r>
      <w:r>
        <w:rPr>
          <w:rFonts w:hint="eastAsia"/>
          <w:sz w:val="24"/>
        </w:rPr>
        <w:t>，</w:t>
      </w:r>
      <w:r>
        <w:rPr>
          <w:sz w:val="24"/>
        </w:rPr>
        <w:t>小球藻替代框鳞镜鲤50%豆粕可显著提升鱼体肠道和肝脏T-AOC水平</w:t>
      </w:r>
      <w:r>
        <w:rPr>
          <w:rFonts w:hint="eastAsia"/>
          <w:sz w:val="24"/>
        </w:rPr>
        <w:t>（</w:t>
      </w:r>
      <w:r>
        <w:rPr>
          <w:i/>
          <w:iCs/>
          <w:sz w:val="24"/>
        </w:rPr>
        <w:t>P</w:t>
      </w:r>
      <w:r>
        <w:rPr>
          <w:sz w:val="24"/>
        </w:rPr>
        <w:t>&lt;0.05</w:t>
      </w:r>
      <w:r>
        <w:rPr>
          <w:rFonts w:hint="eastAsia"/>
          <w:sz w:val="24"/>
        </w:rPr>
        <w:t>）</w:t>
      </w:r>
      <w:r>
        <w:rPr>
          <w:sz w:val="24"/>
        </w:rPr>
        <w:t>。CV25、CV50、CV75处理组鱼体肠道SOD活性</w:t>
      </w:r>
      <w:r>
        <w:rPr>
          <w:rFonts w:hint="eastAsia"/>
          <w:sz w:val="24"/>
        </w:rPr>
        <w:t>，以</w:t>
      </w:r>
      <w:r>
        <w:rPr>
          <w:sz w:val="24"/>
        </w:rPr>
        <w:t>及CV25和CV50处理组肠道CAT活性明显升高</w:t>
      </w:r>
      <w:r>
        <w:rPr>
          <w:rFonts w:hint="eastAsia"/>
          <w:sz w:val="24"/>
        </w:rPr>
        <w:t>（</w:t>
      </w:r>
      <w:r>
        <w:rPr>
          <w:i/>
          <w:iCs/>
          <w:sz w:val="24"/>
        </w:rPr>
        <w:t>P</w:t>
      </w:r>
      <w:r>
        <w:rPr>
          <w:sz w:val="24"/>
        </w:rPr>
        <w:t>&lt;0.05</w:t>
      </w:r>
      <w:r>
        <w:rPr>
          <w:rFonts w:hint="eastAsia"/>
          <w:sz w:val="24"/>
        </w:rPr>
        <w:t>）</w:t>
      </w:r>
      <w:r>
        <w:rPr>
          <w:sz w:val="24"/>
        </w:rPr>
        <w:t>。在肝脏抗氧化能力方面</w:t>
      </w:r>
      <w:r>
        <w:rPr>
          <w:rFonts w:hint="eastAsia"/>
          <w:sz w:val="24"/>
        </w:rPr>
        <w:t>，</w:t>
      </w:r>
      <w:r>
        <w:rPr>
          <w:sz w:val="24"/>
        </w:rPr>
        <w:t>CV25和CV50处理组框鳞镜鲤肝脏SOD活力显著提升</w:t>
      </w:r>
      <w:r>
        <w:rPr>
          <w:rFonts w:hint="eastAsia"/>
          <w:sz w:val="24"/>
        </w:rPr>
        <w:t>（</w:t>
      </w:r>
      <w:r>
        <w:rPr>
          <w:i/>
          <w:iCs/>
          <w:sz w:val="24"/>
        </w:rPr>
        <w:t>P</w:t>
      </w:r>
      <w:r>
        <w:rPr>
          <w:sz w:val="24"/>
        </w:rPr>
        <w:t>&lt;0.05</w:t>
      </w:r>
      <w:r>
        <w:rPr>
          <w:rFonts w:hint="eastAsia"/>
          <w:sz w:val="24"/>
        </w:rPr>
        <w:t>）</w:t>
      </w:r>
      <w:r>
        <w:rPr>
          <w:sz w:val="24"/>
        </w:rPr>
        <w:t>。与CV100处理组相比</w:t>
      </w:r>
      <w:r>
        <w:rPr>
          <w:rFonts w:hint="eastAsia"/>
          <w:sz w:val="24"/>
        </w:rPr>
        <w:t>，</w:t>
      </w:r>
      <w:r>
        <w:rPr>
          <w:sz w:val="24"/>
        </w:rPr>
        <w:t>小球藻替代饲料中25%豆粕显著提升鱼体肝脏CAT活力</w:t>
      </w:r>
      <w:r>
        <w:rPr>
          <w:rFonts w:hint="eastAsia"/>
          <w:sz w:val="24"/>
        </w:rPr>
        <w:t>（</w:t>
      </w:r>
      <w:r>
        <w:rPr>
          <w:i/>
          <w:iCs/>
          <w:sz w:val="24"/>
        </w:rPr>
        <w:t>P</w:t>
      </w:r>
      <w:r>
        <w:rPr>
          <w:sz w:val="24"/>
        </w:rPr>
        <w:t>&lt;0.05</w:t>
      </w:r>
      <w:r>
        <w:rPr>
          <w:rFonts w:hint="eastAsia"/>
          <w:sz w:val="24"/>
        </w:rPr>
        <w:t>）</w:t>
      </w:r>
      <w:r>
        <w:rPr>
          <w:sz w:val="24"/>
        </w:rPr>
        <w:t>。另外</w:t>
      </w:r>
      <w:r>
        <w:rPr>
          <w:rFonts w:hint="eastAsia"/>
          <w:sz w:val="24"/>
        </w:rPr>
        <w:t>，</w:t>
      </w:r>
      <w:r>
        <w:rPr>
          <w:sz w:val="24"/>
        </w:rPr>
        <w:t>在肝脏MDA含量方面与肝脏SOD活力表现出相反的趋势,即CV25和CV50处理组框鳞镜鲤肝脏MDA含量显著低于其他各个处理组</w:t>
      </w:r>
      <w:r>
        <w:rPr>
          <w:rFonts w:hint="eastAsia"/>
          <w:sz w:val="24"/>
        </w:rPr>
        <w:t>（</w:t>
      </w:r>
      <w:r>
        <w:rPr>
          <w:i/>
          <w:iCs/>
          <w:sz w:val="24"/>
        </w:rPr>
        <w:t>P</w:t>
      </w:r>
      <w:r>
        <w:rPr>
          <w:sz w:val="24"/>
        </w:rPr>
        <w:t>&lt;0.05</w:t>
      </w:r>
      <w:r>
        <w:rPr>
          <w:rFonts w:hint="eastAsia"/>
          <w:sz w:val="24"/>
        </w:rPr>
        <w:t>）</w:t>
      </w:r>
      <w:r>
        <w:rPr>
          <w:sz w:val="24"/>
        </w:rPr>
        <w:t>。</w:t>
      </w:r>
    </w:p>
    <w:p w14:paraId="66751C99">
      <w:pPr>
        <w:spacing w:line="360" w:lineRule="auto"/>
        <w:rPr>
          <w:sz w:val="24"/>
        </w:rPr>
      </w:pPr>
      <w:r>
        <w:drawing>
          <wp:inline distT="0" distB="0" distL="114300" distR="114300">
            <wp:extent cx="5974080" cy="2426970"/>
            <wp:effectExtent l="0" t="0" r="7620" b="11430"/>
            <wp:docPr id="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9"/>
                    <pic:cNvPicPr>
                      <a:picLocks noChangeAspect="1"/>
                    </pic:cNvPicPr>
                  </pic:nvPicPr>
                  <pic:blipFill>
                    <a:blip r:embed="rId25"/>
                    <a:stretch>
                      <a:fillRect/>
                    </a:stretch>
                  </pic:blipFill>
                  <pic:spPr>
                    <a:xfrm>
                      <a:off x="0" y="0"/>
                      <a:ext cx="5974080" cy="2426970"/>
                    </a:xfrm>
                    <a:prstGeom prst="rect">
                      <a:avLst/>
                    </a:prstGeom>
                    <a:noFill/>
                    <a:ln>
                      <a:noFill/>
                    </a:ln>
                  </pic:spPr>
                </pic:pic>
              </a:graphicData>
            </a:graphic>
          </wp:inline>
        </w:drawing>
      </w:r>
    </w:p>
    <w:p w14:paraId="35D70ACD">
      <w:pPr>
        <w:spacing w:line="360" w:lineRule="auto"/>
        <w:rPr>
          <w:sz w:val="24"/>
        </w:rPr>
      </w:pPr>
      <w:r>
        <w:rPr>
          <w:sz w:val="24"/>
        </w:rPr>
        <w:t>2.6  小球藻替代饲料豆粕对框鳞镜鲤肝脏组织学特性的影响</w:t>
      </w:r>
    </w:p>
    <w:p w14:paraId="15C61F8F">
      <w:pPr>
        <w:spacing w:line="360" w:lineRule="auto"/>
        <w:ind w:firstLine="420" w:firstLineChars="200"/>
        <w:rPr>
          <w:sz w:val="24"/>
        </w:rPr>
      </w:pPr>
      <w:r>
        <w:fldChar w:fldCharType="begin"/>
      </w:r>
      <w:r>
        <w:instrText xml:space="preserve"> HYPERLINK \l "bookmark24" </w:instrText>
      </w:r>
      <w:r>
        <w:fldChar w:fldCharType="separate"/>
      </w:r>
      <w:r>
        <w:rPr>
          <w:sz w:val="24"/>
        </w:rPr>
        <w:t>图 1</w:t>
      </w:r>
      <w:r>
        <w:rPr>
          <w:sz w:val="24"/>
        </w:rPr>
        <w:fldChar w:fldCharType="end"/>
      </w:r>
      <w:r>
        <w:rPr>
          <w:sz w:val="24"/>
        </w:rPr>
        <w:t>展示的是饲料中小球藻对框鳞镜鲤肝脏组织学特性的影响</w:t>
      </w:r>
      <w:r>
        <w:rPr>
          <w:rFonts w:hint="eastAsia"/>
          <w:sz w:val="24"/>
        </w:rPr>
        <w:t>，</w:t>
      </w:r>
      <w:r>
        <w:rPr>
          <w:sz w:val="24"/>
        </w:rPr>
        <w:t>肝脏组织学结果显示</w:t>
      </w:r>
      <w:r>
        <w:rPr>
          <w:rFonts w:hint="eastAsia"/>
          <w:sz w:val="24"/>
        </w:rPr>
        <w:t>，</w:t>
      </w:r>
      <w:r>
        <w:rPr>
          <w:sz w:val="24"/>
        </w:rPr>
        <w:t>小球藻替代饲料中</w:t>
      </w:r>
      <w:r>
        <w:rPr>
          <w:rFonts w:hint="eastAsia"/>
          <w:sz w:val="24"/>
        </w:rPr>
        <w:t>0</w:t>
      </w:r>
      <w:r>
        <w:rPr>
          <w:sz w:val="24"/>
        </w:rPr>
        <w:t>、25%</w:t>
      </w:r>
      <w:r>
        <w:rPr>
          <w:rFonts w:hint="eastAsia"/>
          <w:sz w:val="24"/>
        </w:rPr>
        <w:t xml:space="preserve">、50% </w:t>
      </w:r>
      <w:r>
        <w:rPr>
          <w:sz w:val="24"/>
        </w:rPr>
        <w:t>和75%</w:t>
      </w:r>
      <w:r>
        <w:rPr>
          <w:rFonts w:hint="eastAsia"/>
          <w:sz w:val="24"/>
        </w:rPr>
        <w:t xml:space="preserve"> 的</w:t>
      </w:r>
      <w:r>
        <w:rPr>
          <w:sz w:val="24"/>
        </w:rPr>
        <w:t>豆粕</w:t>
      </w:r>
      <w:r>
        <w:rPr>
          <w:rFonts w:hint="eastAsia"/>
          <w:sz w:val="24"/>
        </w:rPr>
        <w:t>，</w:t>
      </w:r>
      <w:r>
        <w:rPr>
          <w:sz w:val="24"/>
        </w:rPr>
        <w:t>框鳞镜鲤肝细胞形态结构正常</w:t>
      </w:r>
      <w:r>
        <w:rPr>
          <w:rFonts w:hint="eastAsia"/>
          <w:sz w:val="24"/>
        </w:rPr>
        <w:t>，</w:t>
      </w:r>
      <w:r>
        <w:rPr>
          <w:sz w:val="24"/>
        </w:rPr>
        <w:t>细胞排列紧密</w:t>
      </w:r>
      <w:r>
        <w:rPr>
          <w:rFonts w:hint="eastAsia"/>
          <w:sz w:val="24"/>
        </w:rPr>
        <w:t>，</w:t>
      </w:r>
      <w:r>
        <w:rPr>
          <w:sz w:val="24"/>
        </w:rPr>
        <w:t>并且细胞核位于肝细胞中央。然而</w:t>
      </w:r>
      <w:r>
        <w:rPr>
          <w:rFonts w:hint="eastAsia"/>
          <w:sz w:val="24"/>
        </w:rPr>
        <w:t>，</w:t>
      </w:r>
      <w:r>
        <w:rPr>
          <w:sz w:val="24"/>
        </w:rPr>
        <w:t>当饲料中的豆粕被小球藻完全替代后</w:t>
      </w:r>
      <w:r>
        <w:rPr>
          <w:rFonts w:hint="eastAsia"/>
          <w:sz w:val="24"/>
        </w:rPr>
        <w:t>，</w:t>
      </w:r>
      <w:r>
        <w:rPr>
          <w:sz w:val="24"/>
        </w:rPr>
        <w:t>偶见框鳞镜鲤肝脏组织中出现少许空泡化及细胞核迁移至细胞边缘的现象</w:t>
      </w:r>
      <w:r>
        <w:rPr>
          <w:rFonts w:hint="eastAsia"/>
          <w:sz w:val="24"/>
        </w:rPr>
        <w:t>，</w:t>
      </w:r>
      <w:r>
        <w:rPr>
          <w:sz w:val="24"/>
        </w:rPr>
        <w:t>表明小球藻过量</w:t>
      </w:r>
      <w:bookmarkStart w:id="33" w:name="bookmark22"/>
      <w:bookmarkEnd w:id="33"/>
      <w:r>
        <w:rPr>
          <w:sz w:val="24"/>
        </w:rPr>
        <w:t>替代饲料豆粕会对框鳞镜鲤肝脏健康造成负面影响。</w:t>
      </w:r>
    </w:p>
    <w:p w14:paraId="6CB5768E">
      <w:pPr>
        <w:spacing w:line="360" w:lineRule="auto"/>
        <w:rPr>
          <w:sz w:val="24"/>
        </w:rPr>
      </w:pPr>
      <w:r>
        <w:drawing>
          <wp:inline distT="0" distB="0" distL="114300" distR="114300">
            <wp:extent cx="5972175" cy="3110865"/>
            <wp:effectExtent l="0" t="0" r="9525" b="635"/>
            <wp:docPr id="5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0"/>
                    <pic:cNvPicPr>
                      <a:picLocks noChangeAspect="1"/>
                    </pic:cNvPicPr>
                  </pic:nvPicPr>
                  <pic:blipFill>
                    <a:blip r:embed="rId26"/>
                    <a:stretch>
                      <a:fillRect/>
                    </a:stretch>
                  </pic:blipFill>
                  <pic:spPr>
                    <a:xfrm>
                      <a:off x="0" y="0"/>
                      <a:ext cx="5972175" cy="3110865"/>
                    </a:xfrm>
                    <a:prstGeom prst="rect">
                      <a:avLst/>
                    </a:prstGeom>
                    <a:noFill/>
                    <a:ln>
                      <a:noFill/>
                    </a:ln>
                  </pic:spPr>
                </pic:pic>
              </a:graphicData>
            </a:graphic>
          </wp:inline>
        </w:drawing>
      </w:r>
    </w:p>
    <w:p w14:paraId="08921BFA">
      <w:pPr>
        <w:spacing w:line="360" w:lineRule="auto"/>
        <w:rPr>
          <w:sz w:val="24"/>
        </w:rPr>
      </w:pPr>
      <w:r>
        <w:rPr>
          <w:sz w:val="24"/>
        </w:rPr>
        <w:t>2.7  小球藻替代饲料豆粕对框鳞镜鲤肠道肌层厚度和绒毛长度的影响</w:t>
      </w:r>
    </w:p>
    <w:p w14:paraId="6847F8FF">
      <w:pPr>
        <w:spacing w:line="360" w:lineRule="auto"/>
        <w:ind w:firstLine="480" w:firstLineChars="200"/>
        <w:rPr>
          <w:sz w:val="24"/>
        </w:rPr>
      </w:pPr>
      <w:r>
        <w:rPr>
          <w:sz w:val="24"/>
        </w:rPr>
        <w:t>如</w:t>
      </w:r>
      <w:r>
        <w:fldChar w:fldCharType="begin"/>
      </w:r>
      <w:r>
        <w:instrText xml:space="preserve"> HYPERLINK \l "bookmark25" </w:instrText>
      </w:r>
      <w:r>
        <w:fldChar w:fldCharType="separate"/>
      </w:r>
      <w:r>
        <w:rPr>
          <w:sz w:val="24"/>
        </w:rPr>
        <w:t>图2</w:t>
      </w:r>
      <w:r>
        <w:rPr>
          <w:sz w:val="24"/>
        </w:rPr>
        <w:fldChar w:fldCharType="end"/>
      </w:r>
      <w:r>
        <w:rPr>
          <w:sz w:val="24"/>
        </w:rPr>
        <w:t>所示</w:t>
      </w:r>
      <w:r>
        <w:rPr>
          <w:rFonts w:hint="eastAsia"/>
          <w:sz w:val="24"/>
        </w:rPr>
        <w:t>，</w:t>
      </w:r>
      <w:r>
        <w:rPr>
          <w:sz w:val="24"/>
        </w:rPr>
        <w:t>框鳞镜鲤肠道绒毛高度和肌层厚度在CV50处理组最高</w:t>
      </w:r>
      <w:r>
        <w:rPr>
          <w:rFonts w:hint="eastAsia"/>
          <w:sz w:val="24"/>
        </w:rPr>
        <w:t>，</w:t>
      </w:r>
      <w:r>
        <w:rPr>
          <w:sz w:val="24"/>
        </w:rPr>
        <w:t>且显著高于对照组和CV100处理组</w:t>
      </w:r>
      <w:r>
        <w:rPr>
          <w:rFonts w:hint="eastAsia"/>
          <w:sz w:val="24"/>
        </w:rPr>
        <w:t>（</w:t>
      </w:r>
      <w:r>
        <w:rPr>
          <w:i/>
          <w:iCs/>
          <w:sz w:val="24"/>
        </w:rPr>
        <w:t>P</w:t>
      </w:r>
      <w:r>
        <w:rPr>
          <w:sz w:val="24"/>
        </w:rPr>
        <w:t>&lt;0.05</w:t>
      </w:r>
      <w:r>
        <w:rPr>
          <w:rFonts w:hint="eastAsia"/>
          <w:sz w:val="24"/>
        </w:rPr>
        <w:t>）</w:t>
      </w:r>
      <w:r>
        <w:rPr>
          <w:sz w:val="24"/>
        </w:rPr>
        <w:t>。</w:t>
      </w:r>
    </w:p>
    <w:p w14:paraId="2C282ACD">
      <w:pPr>
        <w:spacing w:line="360" w:lineRule="auto"/>
        <w:jc w:val="center"/>
        <w:rPr>
          <w:sz w:val="24"/>
        </w:rPr>
      </w:pPr>
      <w:r>
        <w:drawing>
          <wp:inline distT="0" distB="0" distL="114300" distR="114300">
            <wp:extent cx="5744210" cy="3647440"/>
            <wp:effectExtent l="0" t="0" r="8890" b="10160"/>
            <wp:docPr id="5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1"/>
                    <pic:cNvPicPr>
                      <a:picLocks noChangeAspect="1"/>
                    </pic:cNvPicPr>
                  </pic:nvPicPr>
                  <pic:blipFill>
                    <a:blip r:embed="rId27"/>
                    <a:stretch>
                      <a:fillRect/>
                    </a:stretch>
                  </pic:blipFill>
                  <pic:spPr>
                    <a:xfrm>
                      <a:off x="0" y="0"/>
                      <a:ext cx="5744210" cy="3647440"/>
                    </a:xfrm>
                    <a:prstGeom prst="rect">
                      <a:avLst/>
                    </a:prstGeom>
                    <a:noFill/>
                    <a:ln>
                      <a:noFill/>
                    </a:ln>
                  </pic:spPr>
                </pic:pic>
              </a:graphicData>
            </a:graphic>
          </wp:inline>
        </w:drawing>
      </w:r>
    </w:p>
    <w:p w14:paraId="1BFEBDFC">
      <w:pPr>
        <w:spacing w:line="360" w:lineRule="auto"/>
        <w:rPr>
          <w:sz w:val="24"/>
        </w:rPr>
      </w:pPr>
      <w:r>
        <w:rPr>
          <w:sz w:val="24"/>
        </w:rPr>
        <w:t>2.8  小球藻替代饲料豆粕对框鳞镜鲤肾脏组织结构的影响</w:t>
      </w:r>
    </w:p>
    <w:p w14:paraId="16CB3947">
      <w:pPr>
        <w:spacing w:line="360" w:lineRule="auto"/>
        <w:ind w:firstLine="480" w:firstLineChars="200"/>
        <w:rPr>
          <w:sz w:val="24"/>
        </w:rPr>
      </w:pPr>
      <w:r>
        <w:rPr>
          <w:sz w:val="24"/>
        </w:rPr>
        <w:t>如</w:t>
      </w:r>
      <w:r>
        <w:fldChar w:fldCharType="begin"/>
      </w:r>
      <w:r>
        <w:instrText xml:space="preserve"> HYPERLINK \l "bookmark26" </w:instrText>
      </w:r>
      <w:r>
        <w:fldChar w:fldCharType="separate"/>
      </w:r>
      <w:r>
        <w:rPr>
          <w:sz w:val="24"/>
        </w:rPr>
        <w:t>图3</w:t>
      </w:r>
      <w:r>
        <w:rPr>
          <w:sz w:val="24"/>
        </w:rPr>
        <w:fldChar w:fldCharType="end"/>
      </w:r>
      <w:r>
        <w:rPr>
          <w:sz w:val="24"/>
        </w:rPr>
        <w:t>所示</w:t>
      </w:r>
      <w:r>
        <w:rPr>
          <w:rFonts w:hint="eastAsia"/>
          <w:sz w:val="24"/>
        </w:rPr>
        <w:t>，</w:t>
      </w:r>
      <w:r>
        <w:rPr>
          <w:sz w:val="24"/>
        </w:rPr>
        <w:t>对照组、CV25、CV50</w:t>
      </w:r>
      <w:r>
        <w:rPr>
          <w:rFonts w:hint="eastAsia"/>
          <w:sz w:val="24"/>
        </w:rPr>
        <w:t>、CV75</w:t>
      </w:r>
      <w:r>
        <w:rPr>
          <w:sz w:val="24"/>
        </w:rPr>
        <w:t>处理组框鳞镜鲤肾脏组织表面被膜无明显异常</w:t>
      </w:r>
      <w:r>
        <w:rPr>
          <w:rFonts w:hint="eastAsia"/>
          <w:sz w:val="24"/>
        </w:rPr>
        <w:t>，</w:t>
      </w:r>
      <w:r>
        <w:rPr>
          <w:sz w:val="24"/>
        </w:rPr>
        <w:t>肾脏组织中的肾小球形态规则且分布均匀</w:t>
      </w:r>
      <w:r>
        <w:rPr>
          <w:rFonts w:hint="eastAsia"/>
          <w:sz w:val="24"/>
        </w:rPr>
        <w:t>，</w:t>
      </w:r>
      <w:r>
        <w:rPr>
          <w:sz w:val="24"/>
        </w:rPr>
        <w:t>肾小球内细胞数目、形态均在正常范围</w:t>
      </w:r>
      <w:r>
        <w:rPr>
          <w:rFonts w:hint="eastAsia"/>
          <w:sz w:val="24"/>
        </w:rPr>
        <w:t>，</w:t>
      </w:r>
      <w:r>
        <w:rPr>
          <w:sz w:val="24"/>
        </w:rPr>
        <w:t>系膜基质分布均匀,未见异常增生表现</w:t>
      </w:r>
      <w:r>
        <w:rPr>
          <w:rFonts w:hint="eastAsia"/>
          <w:sz w:val="24"/>
        </w:rPr>
        <w:t>；</w:t>
      </w:r>
      <w:r>
        <w:rPr>
          <w:sz w:val="24"/>
        </w:rPr>
        <w:t>肾小管轮廓规整</w:t>
      </w:r>
      <w:r>
        <w:rPr>
          <w:rFonts w:hint="eastAsia"/>
          <w:sz w:val="24"/>
        </w:rPr>
        <w:t>，</w:t>
      </w:r>
      <w:r>
        <w:rPr>
          <w:sz w:val="24"/>
        </w:rPr>
        <w:t>排列密集</w:t>
      </w:r>
      <w:r>
        <w:rPr>
          <w:rFonts w:hint="eastAsia"/>
          <w:sz w:val="24"/>
        </w:rPr>
        <w:t>，</w:t>
      </w:r>
      <w:r>
        <w:rPr>
          <w:sz w:val="24"/>
        </w:rPr>
        <w:t>上皮细胞形态饱满圆润</w:t>
      </w:r>
      <w:r>
        <w:rPr>
          <w:rFonts w:hint="eastAsia"/>
          <w:sz w:val="24"/>
        </w:rPr>
        <w:t>，</w:t>
      </w:r>
      <w:r>
        <w:rPr>
          <w:sz w:val="24"/>
        </w:rPr>
        <w:t>管腔面刷状缘结构完整有序,肾髓质区未发现病理改变</w:t>
      </w:r>
      <w:r>
        <w:rPr>
          <w:rFonts w:hint="eastAsia"/>
          <w:sz w:val="24"/>
        </w:rPr>
        <w:t>；</w:t>
      </w:r>
      <w:r>
        <w:rPr>
          <w:sz w:val="24"/>
        </w:rPr>
        <w:t xml:space="preserve"> 肾间质组织未见明显增生</w:t>
      </w:r>
      <w:r>
        <w:rPr>
          <w:rFonts w:hint="eastAsia"/>
          <w:sz w:val="24"/>
        </w:rPr>
        <w:t>，</w:t>
      </w:r>
      <w:r>
        <w:rPr>
          <w:sz w:val="24"/>
        </w:rPr>
        <w:t>亦无炎性细胞浸润征象。然而</w:t>
      </w:r>
      <w:r>
        <w:rPr>
          <w:rFonts w:hint="eastAsia"/>
          <w:sz w:val="24"/>
        </w:rPr>
        <w:t>，</w:t>
      </w:r>
      <w:r>
        <w:rPr>
          <w:sz w:val="24"/>
        </w:rPr>
        <w:t>当小球藻替代饲料豆粕为100%时</w:t>
      </w:r>
      <w:r>
        <w:rPr>
          <w:rFonts w:hint="eastAsia"/>
          <w:sz w:val="24"/>
        </w:rPr>
        <w:t>，</w:t>
      </w:r>
      <w:r>
        <w:rPr>
          <w:sz w:val="24"/>
        </w:rPr>
        <w:t>CV100处理组框鳞镜鲤肾脏组织中的肾小球表现出形态不规则、增生肿大及基质不均匀</w:t>
      </w:r>
      <w:r>
        <w:rPr>
          <w:rFonts w:hint="eastAsia"/>
          <w:sz w:val="24"/>
        </w:rPr>
        <w:t>，</w:t>
      </w:r>
      <w:r>
        <w:rPr>
          <w:sz w:val="24"/>
        </w:rPr>
        <w:t>肾小管上皮细胞和刷状缘排列不规则,且间质发生增生及有明显的炎性浸润。</w:t>
      </w:r>
    </w:p>
    <w:p w14:paraId="0D610C46">
      <w:pPr>
        <w:spacing w:line="360" w:lineRule="auto"/>
        <w:jc w:val="center"/>
        <w:rPr>
          <w:sz w:val="24"/>
        </w:rPr>
      </w:pPr>
      <w:r>
        <w:drawing>
          <wp:inline distT="0" distB="0" distL="114300" distR="114300">
            <wp:extent cx="5767705" cy="2582545"/>
            <wp:effectExtent l="0" t="0" r="10795" b="8255"/>
            <wp:docPr id="6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2"/>
                    <pic:cNvPicPr>
                      <a:picLocks noChangeAspect="1"/>
                    </pic:cNvPicPr>
                  </pic:nvPicPr>
                  <pic:blipFill>
                    <a:blip r:embed="rId28"/>
                    <a:stretch>
                      <a:fillRect/>
                    </a:stretch>
                  </pic:blipFill>
                  <pic:spPr>
                    <a:xfrm>
                      <a:off x="0" y="0"/>
                      <a:ext cx="5767705" cy="2582545"/>
                    </a:xfrm>
                    <a:prstGeom prst="rect">
                      <a:avLst/>
                    </a:prstGeom>
                    <a:noFill/>
                    <a:ln>
                      <a:noFill/>
                    </a:ln>
                  </pic:spPr>
                </pic:pic>
              </a:graphicData>
            </a:graphic>
          </wp:inline>
        </w:drawing>
      </w:r>
    </w:p>
    <w:p w14:paraId="5F2084BD">
      <w:pPr>
        <w:spacing w:line="360" w:lineRule="auto"/>
        <w:rPr>
          <w:sz w:val="24"/>
        </w:rPr>
      </w:pPr>
      <w:r>
        <w:rPr>
          <w:sz w:val="24"/>
        </w:rPr>
        <w:t>2.9  小球藻替代饲料豆粕对框鳞镜鲤肌肉肌纤维结构的影响</w:t>
      </w:r>
    </w:p>
    <w:p w14:paraId="7D91200C">
      <w:pPr>
        <w:spacing w:line="360" w:lineRule="auto"/>
        <w:ind w:firstLine="480" w:firstLineChars="200"/>
        <w:rPr>
          <w:sz w:val="24"/>
        </w:rPr>
      </w:pPr>
      <w:r>
        <w:rPr>
          <w:sz w:val="24"/>
        </w:rPr>
        <w:t>如</w:t>
      </w:r>
      <w:r>
        <w:fldChar w:fldCharType="begin"/>
      </w:r>
      <w:r>
        <w:instrText xml:space="preserve">HYPERLINK \l "bookmark27"</w:instrText>
      </w:r>
      <w:r>
        <w:fldChar w:fldCharType="separate"/>
      </w:r>
      <w:r>
        <w:rPr>
          <w:sz w:val="24"/>
        </w:rPr>
        <w:t>图 4</w:t>
      </w:r>
      <w:r>
        <w:fldChar w:fldCharType="end"/>
      </w:r>
      <w:r>
        <w:rPr>
          <w:sz w:val="24"/>
        </w:rPr>
        <w:t>所示</w:t>
      </w:r>
      <w:r>
        <w:rPr>
          <w:rFonts w:hint="eastAsia"/>
          <w:sz w:val="24"/>
        </w:rPr>
        <w:t>，</w:t>
      </w:r>
      <w:r>
        <w:rPr>
          <w:sz w:val="24"/>
        </w:rPr>
        <w:t>实验鱼肌肉组织的肌纤维密度随着小球藻替代豆粕比例的增加先上升后下降</w:t>
      </w:r>
      <w:r>
        <w:rPr>
          <w:rFonts w:hint="eastAsia"/>
          <w:sz w:val="24"/>
        </w:rPr>
        <w:t>，</w:t>
      </w:r>
      <w:r>
        <w:rPr>
          <w:sz w:val="24"/>
        </w:rPr>
        <w:t>其中肌纤维密度在CV50组最高</w:t>
      </w:r>
      <w:r>
        <w:rPr>
          <w:rFonts w:hint="eastAsia"/>
          <w:sz w:val="24"/>
        </w:rPr>
        <w:t>，且</w:t>
      </w:r>
      <w:r>
        <w:rPr>
          <w:sz w:val="24"/>
        </w:rPr>
        <w:t>显著高于</w:t>
      </w:r>
      <w:r>
        <w:rPr>
          <w:rFonts w:hint="eastAsia"/>
          <w:sz w:val="24"/>
        </w:rPr>
        <w:t>CV0</w:t>
      </w:r>
      <w:r>
        <w:rPr>
          <w:sz w:val="24"/>
        </w:rPr>
        <w:t>、CV25和CV100处理组</w:t>
      </w:r>
      <w:r>
        <w:rPr>
          <w:rFonts w:hint="eastAsia"/>
          <w:sz w:val="24"/>
        </w:rPr>
        <w:t>（</w:t>
      </w:r>
      <w:r>
        <w:rPr>
          <w:i/>
          <w:iCs/>
          <w:sz w:val="24"/>
        </w:rPr>
        <w:t>P</w:t>
      </w:r>
      <w:r>
        <w:rPr>
          <w:sz w:val="24"/>
        </w:rPr>
        <w:t>&lt;0.05</w:t>
      </w:r>
      <w:r>
        <w:rPr>
          <w:rFonts w:hint="eastAsia"/>
          <w:sz w:val="24"/>
        </w:rPr>
        <w:t>），</w:t>
      </w:r>
      <w:r>
        <w:rPr>
          <w:sz w:val="24"/>
        </w:rPr>
        <w:t>而与CV75处理组无差异</w:t>
      </w:r>
      <w:r>
        <w:rPr>
          <w:rFonts w:hint="eastAsia"/>
          <w:sz w:val="24"/>
        </w:rPr>
        <w:t>（</w:t>
      </w:r>
      <w:r>
        <w:rPr>
          <w:i/>
          <w:iCs/>
          <w:sz w:val="24"/>
        </w:rPr>
        <w:t>P</w:t>
      </w:r>
      <w:r>
        <w:rPr>
          <w:rFonts w:hint="eastAsia"/>
          <w:sz w:val="24"/>
        </w:rPr>
        <w:t xml:space="preserve"> &gt; 0</w:t>
      </w:r>
      <w:r>
        <w:rPr>
          <w:sz w:val="24"/>
        </w:rPr>
        <w:t>.05</w:t>
      </w:r>
      <w:r>
        <w:rPr>
          <w:rFonts w:hint="eastAsia"/>
          <w:sz w:val="24"/>
        </w:rPr>
        <w:t>；</w:t>
      </w:r>
      <w:r>
        <w:rPr>
          <w:sz w:val="24"/>
        </w:rPr>
        <w:fldChar w:fldCharType="begin"/>
      </w:r>
      <w:r>
        <w:rPr>
          <w:sz w:val="24"/>
        </w:rPr>
        <w:instrText xml:space="preserve"> HYPERLINK \l "bookmark28" </w:instrText>
      </w:r>
      <w:r>
        <w:rPr>
          <w:sz w:val="24"/>
        </w:rPr>
        <w:fldChar w:fldCharType="separate"/>
      </w:r>
      <w:r>
        <w:rPr>
          <w:sz w:val="24"/>
        </w:rPr>
        <w:t>图4b</w:t>
      </w:r>
      <w:r>
        <w:rPr>
          <w:sz w:val="24"/>
        </w:rPr>
        <w:fldChar w:fldCharType="end"/>
      </w:r>
      <w:r>
        <w:rPr>
          <w:rFonts w:hint="eastAsia"/>
          <w:sz w:val="24"/>
        </w:rPr>
        <w:t>）</w:t>
      </w:r>
      <w:r>
        <w:rPr>
          <w:sz w:val="24"/>
        </w:rPr>
        <w:t>。而肌纤维直径与肌纤维密度呈相反的趋势</w:t>
      </w:r>
      <w:r>
        <w:rPr>
          <w:rFonts w:hint="eastAsia"/>
          <w:sz w:val="24"/>
        </w:rPr>
        <w:t>，</w:t>
      </w:r>
      <w:r>
        <w:rPr>
          <w:sz w:val="24"/>
        </w:rPr>
        <w:t>即实验鱼肌肉组织的肌纤维直径随着小</w:t>
      </w:r>
      <w:bookmarkStart w:id="34" w:name="bookmark25"/>
      <w:bookmarkEnd w:id="34"/>
      <w:r>
        <w:rPr>
          <w:sz w:val="24"/>
        </w:rPr>
        <w:t>球藻替代饲料中豆粕比例的增加呈先下降后上升</w:t>
      </w:r>
      <w:r>
        <w:rPr>
          <w:rFonts w:hint="eastAsia"/>
          <w:sz w:val="24"/>
        </w:rPr>
        <w:t>的趋势，</w:t>
      </w:r>
      <w:r>
        <w:rPr>
          <w:sz w:val="24"/>
        </w:rPr>
        <w:t>其中</w:t>
      </w:r>
      <w:r>
        <w:rPr>
          <w:rFonts w:hint="eastAsia"/>
          <w:sz w:val="24"/>
        </w:rPr>
        <w:t>CV50处理组框鳞镜鲤肌纤维直径在所有处理组</w:t>
      </w:r>
      <w:r>
        <w:rPr>
          <w:sz w:val="24"/>
        </w:rPr>
        <w:t>中</w:t>
      </w:r>
      <w:r>
        <w:rPr>
          <w:rFonts w:hint="eastAsia"/>
          <w:sz w:val="24"/>
        </w:rPr>
        <w:t>最低，</w:t>
      </w:r>
      <w:r>
        <w:rPr>
          <w:sz w:val="24"/>
        </w:rPr>
        <w:t>且</w:t>
      </w:r>
      <w:r>
        <w:rPr>
          <w:rFonts w:hint="eastAsia"/>
          <w:sz w:val="24"/>
        </w:rPr>
        <w:t>显著低于对照组</w:t>
      </w:r>
      <w:r>
        <w:rPr>
          <w:sz w:val="24"/>
        </w:rPr>
        <w:t>和</w:t>
      </w:r>
      <w:r>
        <w:rPr>
          <w:rFonts w:hint="eastAsia"/>
          <w:sz w:val="24"/>
        </w:rPr>
        <w:t>CV100</w:t>
      </w:r>
      <w:r>
        <w:rPr>
          <w:sz w:val="24"/>
        </w:rPr>
        <w:t xml:space="preserve"> 理组</w:t>
      </w:r>
      <w:r>
        <w:rPr>
          <w:rFonts w:hint="eastAsia"/>
          <w:sz w:val="24"/>
        </w:rPr>
        <w:t>（</w:t>
      </w:r>
      <w:r>
        <w:rPr>
          <w:i/>
          <w:iCs/>
          <w:sz w:val="24"/>
        </w:rPr>
        <w:t>P</w:t>
      </w:r>
      <w:r>
        <w:rPr>
          <w:rFonts w:hint="eastAsia"/>
          <w:sz w:val="24"/>
        </w:rPr>
        <w:t xml:space="preserve"> &lt; 0</w:t>
      </w:r>
      <w:r>
        <w:rPr>
          <w:sz w:val="24"/>
        </w:rPr>
        <w:t>.05</w:t>
      </w:r>
      <w:r>
        <w:rPr>
          <w:rFonts w:hint="eastAsia"/>
          <w:sz w:val="24"/>
        </w:rPr>
        <w:t>），</w:t>
      </w:r>
      <w:r>
        <w:rPr>
          <w:sz w:val="24"/>
        </w:rPr>
        <w:t>而与CV25和CV75处理组无差异</w:t>
      </w:r>
      <w:r>
        <w:rPr>
          <w:rFonts w:hint="eastAsia"/>
          <w:sz w:val="24"/>
        </w:rPr>
        <w:t>（</w:t>
      </w:r>
      <w:r>
        <w:rPr>
          <w:i/>
          <w:iCs/>
          <w:sz w:val="24"/>
        </w:rPr>
        <w:t>P</w:t>
      </w:r>
      <w:r>
        <w:rPr>
          <w:rFonts w:hint="eastAsia"/>
          <w:sz w:val="24"/>
        </w:rPr>
        <w:t xml:space="preserve"> &gt; 0</w:t>
      </w:r>
      <w:r>
        <w:rPr>
          <w:sz w:val="24"/>
        </w:rPr>
        <w:t>.05</w:t>
      </w:r>
      <w:r>
        <w:rPr>
          <w:rFonts w:hint="eastAsia"/>
          <w:sz w:val="24"/>
        </w:rPr>
        <w:t>；</w:t>
      </w:r>
      <w:r>
        <w:rPr>
          <w:sz w:val="24"/>
        </w:rPr>
        <w:fldChar w:fldCharType="begin"/>
      </w:r>
      <w:r>
        <w:rPr>
          <w:sz w:val="24"/>
        </w:rPr>
        <w:instrText xml:space="preserve"> HYPERLINK \l "bookmark29" </w:instrText>
      </w:r>
      <w:r>
        <w:rPr>
          <w:sz w:val="24"/>
        </w:rPr>
        <w:fldChar w:fldCharType="separate"/>
      </w:r>
      <w:r>
        <w:rPr>
          <w:sz w:val="24"/>
        </w:rPr>
        <w:t>图4c</w:t>
      </w:r>
      <w:r>
        <w:rPr>
          <w:sz w:val="24"/>
        </w:rPr>
        <w:fldChar w:fldCharType="end"/>
      </w:r>
      <w:r>
        <w:rPr>
          <w:rFonts w:hint="eastAsia"/>
          <w:sz w:val="24"/>
        </w:rPr>
        <w:t>）</w:t>
      </w:r>
      <w:r>
        <w:rPr>
          <w:sz w:val="24"/>
        </w:rPr>
        <w:t>。在肌纤维直径分布统计中发现</w:t>
      </w:r>
      <w:r>
        <w:rPr>
          <w:rFonts w:hint="eastAsia"/>
          <w:sz w:val="24"/>
        </w:rPr>
        <w:t>，</w:t>
      </w:r>
      <w:r>
        <w:rPr>
          <w:sz w:val="24"/>
        </w:rPr>
        <w:t>肌纤维直径小于30 μm</w:t>
      </w:r>
      <w:r>
        <w:rPr>
          <w:rFonts w:hint="eastAsia"/>
          <w:sz w:val="24"/>
        </w:rPr>
        <w:t>，</w:t>
      </w:r>
      <w:r>
        <w:rPr>
          <w:sz w:val="24"/>
        </w:rPr>
        <w:t>以及肌纤维直径</w:t>
      </w:r>
      <w:r>
        <w:rPr>
          <w:rFonts w:hint="eastAsia"/>
          <w:sz w:val="24"/>
        </w:rPr>
        <w:t>≥30</w:t>
      </w:r>
      <w:r>
        <w:rPr>
          <w:sz w:val="24"/>
        </w:rPr>
        <w:t xml:space="preserve"> μm</w:t>
      </w:r>
      <w:r>
        <w:rPr>
          <w:rFonts w:hint="eastAsia"/>
          <w:sz w:val="24"/>
        </w:rPr>
        <w:t>且〈 60</w:t>
      </w:r>
      <w:r>
        <w:rPr>
          <w:sz w:val="24"/>
        </w:rPr>
        <w:t xml:space="preserve"> μm的这类肌纤维占比在CV50处理组中最高</w:t>
      </w:r>
      <w:r>
        <w:rPr>
          <w:rFonts w:hint="eastAsia"/>
          <w:sz w:val="24"/>
        </w:rPr>
        <w:t>，</w:t>
      </w:r>
      <w:r>
        <w:rPr>
          <w:sz w:val="24"/>
        </w:rPr>
        <w:t>且显著高于对照组</w:t>
      </w:r>
      <w:r>
        <w:rPr>
          <w:rFonts w:hint="eastAsia"/>
          <w:sz w:val="24"/>
        </w:rPr>
        <w:t>（</w:t>
      </w:r>
      <w:r>
        <w:rPr>
          <w:i/>
          <w:iCs/>
          <w:sz w:val="24"/>
        </w:rPr>
        <w:t>P</w:t>
      </w:r>
      <w:r>
        <w:rPr>
          <w:sz w:val="24"/>
        </w:rPr>
        <w:t>&lt;0.05</w:t>
      </w:r>
      <w:r>
        <w:rPr>
          <w:rFonts w:hint="eastAsia"/>
          <w:sz w:val="24"/>
        </w:rPr>
        <w:t>）</w:t>
      </w:r>
      <w:r>
        <w:rPr>
          <w:sz w:val="24"/>
        </w:rPr>
        <w:t>。与对照组相比</w:t>
      </w:r>
      <w:r>
        <w:rPr>
          <w:rFonts w:hint="eastAsia"/>
          <w:sz w:val="24"/>
        </w:rPr>
        <w:t>，</w:t>
      </w:r>
      <w:r>
        <w:rPr>
          <w:sz w:val="24"/>
        </w:rPr>
        <w:t>在纤维直径</w:t>
      </w:r>
      <w:r>
        <w:rPr>
          <w:rFonts w:hint="eastAsia"/>
          <w:sz w:val="24"/>
        </w:rPr>
        <w:t>≥</w:t>
      </w:r>
      <w:r>
        <w:rPr>
          <w:sz w:val="24"/>
        </w:rPr>
        <w:t xml:space="preserve"> 60 μm</w:t>
      </w:r>
      <w:r>
        <w:rPr>
          <w:rFonts w:hint="eastAsia"/>
          <w:sz w:val="24"/>
        </w:rPr>
        <w:t>且〈 90</w:t>
      </w:r>
      <w:r>
        <w:rPr>
          <w:sz w:val="24"/>
        </w:rPr>
        <w:t xml:space="preserve"> μm</w:t>
      </w:r>
      <w:r>
        <w:rPr>
          <w:rFonts w:hint="eastAsia"/>
          <w:sz w:val="24"/>
        </w:rPr>
        <w:t>，</w:t>
      </w:r>
      <w:r>
        <w:rPr>
          <w:sz w:val="24"/>
        </w:rPr>
        <w:t>及≥</w:t>
      </w:r>
      <w:r>
        <w:rPr>
          <w:rFonts w:hint="eastAsia"/>
          <w:sz w:val="24"/>
        </w:rPr>
        <w:t xml:space="preserve"> 120</w:t>
      </w:r>
      <w:r>
        <w:rPr>
          <w:sz w:val="24"/>
        </w:rPr>
        <w:t xml:space="preserve"> μm的这类肌纤维占比在CV25和CV50处理中显著降低</w:t>
      </w:r>
      <w:r>
        <w:rPr>
          <w:rFonts w:hint="eastAsia"/>
          <w:sz w:val="24"/>
        </w:rPr>
        <w:t>（</w:t>
      </w:r>
      <w:r>
        <w:rPr>
          <w:i/>
          <w:iCs/>
          <w:sz w:val="24"/>
        </w:rPr>
        <w:t>P</w:t>
      </w:r>
      <w:r>
        <w:rPr>
          <w:sz w:val="24"/>
        </w:rPr>
        <w:t>&lt;0.05</w:t>
      </w:r>
      <w:r>
        <w:rPr>
          <w:rFonts w:hint="eastAsia"/>
          <w:sz w:val="24"/>
        </w:rPr>
        <w:t>）</w:t>
      </w:r>
      <w:r>
        <w:rPr>
          <w:sz w:val="24"/>
        </w:rPr>
        <w:t>。而所有实验组在肌纤维直径</w:t>
      </w:r>
      <w:r>
        <w:rPr>
          <w:rFonts w:hint="eastAsia"/>
          <w:sz w:val="24"/>
        </w:rPr>
        <w:t>≥90</w:t>
      </w:r>
      <w:r>
        <w:rPr>
          <w:sz w:val="24"/>
        </w:rPr>
        <w:t xml:space="preserve"> μm</w:t>
      </w:r>
      <w:r>
        <w:rPr>
          <w:rFonts w:hint="eastAsia"/>
          <w:sz w:val="24"/>
        </w:rPr>
        <w:t>且&lt;120</w:t>
      </w:r>
      <w:r>
        <w:rPr>
          <w:sz w:val="24"/>
        </w:rPr>
        <w:t xml:space="preserve"> μm的肌纤维占比中无显著差异</w:t>
      </w:r>
      <w:r>
        <w:rPr>
          <w:rFonts w:hint="eastAsia"/>
          <w:sz w:val="24"/>
        </w:rPr>
        <w:t>（</w:t>
      </w:r>
      <w:r>
        <w:rPr>
          <w:i/>
          <w:iCs/>
          <w:sz w:val="24"/>
        </w:rPr>
        <w:t>P</w:t>
      </w:r>
      <w:r>
        <w:rPr>
          <w:rFonts w:hint="eastAsia"/>
          <w:sz w:val="24"/>
        </w:rPr>
        <w:t xml:space="preserve"> &gt;0</w:t>
      </w:r>
      <w:r>
        <w:rPr>
          <w:sz w:val="24"/>
        </w:rPr>
        <w:t>.05</w:t>
      </w:r>
      <w:r>
        <w:rPr>
          <w:rFonts w:hint="eastAsia"/>
          <w:sz w:val="24"/>
        </w:rPr>
        <w:t>；</w:t>
      </w:r>
      <w:r>
        <w:rPr>
          <w:sz w:val="24"/>
        </w:rPr>
        <w:fldChar w:fldCharType="begin"/>
      </w:r>
      <w:r>
        <w:rPr>
          <w:sz w:val="24"/>
        </w:rPr>
        <w:instrText xml:space="preserve"> HYPERLINK \l "bookmark30" </w:instrText>
      </w:r>
      <w:r>
        <w:rPr>
          <w:sz w:val="24"/>
        </w:rPr>
        <w:fldChar w:fldCharType="separate"/>
      </w:r>
      <w:r>
        <w:rPr>
          <w:sz w:val="24"/>
        </w:rPr>
        <w:t>图 4d</w:t>
      </w:r>
      <w:r>
        <w:rPr>
          <w:sz w:val="24"/>
        </w:rPr>
        <w:fldChar w:fldCharType="end"/>
      </w:r>
      <w:r>
        <w:rPr>
          <w:rFonts w:hint="eastAsia"/>
          <w:sz w:val="24"/>
        </w:rPr>
        <w:t>）</w:t>
      </w:r>
      <w:r>
        <w:rPr>
          <w:sz w:val="24"/>
        </w:rPr>
        <w:t>。</w:t>
      </w:r>
    </w:p>
    <w:p w14:paraId="438760F3">
      <w:pPr>
        <w:spacing w:line="360" w:lineRule="auto"/>
        <w:rPr>
          <w:sz w:val="24"/>
        </w:rPr>
      </w:pPr>
      <w:r>
        <w:drawing>
          <wp:inline distT="0" distB="0" distL="114300" distR="114300">
            <wp:extent cx="5972810" cy="3528060"/>
            <wp:effectExtent l="0" t="0" r="8890" b="2540"/>
            <wp:docPr id="6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3"/>
                    <pic:cNvPicPr>
                      <a:picLocks noChangeAspect="1"/>
                    </pic:cNvPicPr>
                  </pic:nvPicPr>
                  <pic:blipFill>
                    <a:blip r:embed="rId29"/>
                    <a:stretch>
                      <a:fillRect/>
                    </a:stretch>
                  </pic:blipFill>
                  <pic:spPr>
                    <a:xfrm>
                      <a:off x="0" y="0"/>
                      <a:ext cx="5972810" cy="3528060"/>
                    </a:xfrm>
                    <a:prstGeom prst="rect">
                      <a:avLst/>
                    </a:prstGeom>
                    <a:noFill/>
                    <a:ln>
                      <a:noFill/>
                    </a:ln>
                  </pic:spPr>
                </pic:pic>
              </a:graphicData>
            </a:graphic>
          </wp:inline>
        </w:drawing>
      </w:r>
    </w:p>
    <w:p w14:paraId="3B9F1608">
      <w:pPr>
        <w:spacing w:line="360" w:lineRule="auto"/>
        <w:rPr>
          <w:sz w:val="24"/>
        </w:rPr>
      </w:pPr>
      <w:r>
        <w:rPr>
          <w:sz w:val="24"/>
        </w:rPr>
        <w:t>2.10  小球藻替代饲料豆粕对框鳞镜鲤肌肉氨基酸组成的影响</w:t>
      </w:r>
    </w:p>
    <w:p w14:paraId="611CFCE2">
      <w:pPr>
        <w:spacing w:line="360" w:lineRule="auto"/>
        <w:ind w:firstLine="480" w:firstLineChars="200"/>
        <w:rPr>
          <w:sz w:val="24"/>
        </w:rPr>
      </w:pPr>
      <w:r>
        <w:rPr>
          <w:sz w:val="24"/>
        </w:rPr>
        <mc:AlternateContent>
          <mc:Choice Requires="wps">
            <w:drawing>
              <wp:anchor distT="0" distB="0" distL="114300" distR="114300" simplePos="0" relativeHeight="251667456" behindDoc="0" locked="0" layoutInCell="1" allowOverlap="1">
                <wp:simplePos x="0" y="0"/>
                <wp:positionH relativeFrom="column">
                  <wp:posOffset>2383155</wp:posOffset>
                </wp:positionH>
                <wp:positionV relativeFrom="paragraph">
                  <wp:posOffset>1249680</wp:posOffset>
                </wp:positionV>
                <wp:extent cx="104140" cy="9525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04140" cy="95250"/>
                        </a:xfrm>
                        <a:prstGeom prst="rect">
                          <a:avLst/>
                        </a:prstGeom>
                        <a:noFill/>
                        <a:ln>
                          <a:noFill/>
                        </a:ln>
                      </wps:spPr>
                      <wps:txbx>
                        <w:txbxContent>
                          <w:p w14:paraId="3C848F91">
                            <w:pPr>
                              <w:spacing w:before="20" w:line="109" w:lineRule="exact"/>
                              <w:ind w:left="20"/>
                              <w:rPr>
                                <w:rFonts w:eastAsia="Times New Roman"/>
                                <w:sz w:val="16"/>
                                <w:szCs w:val="16"/>
                              </w:rPr>
                            </w:pPr>
                            <w:r>
                              <w:rPr>
                                <w:rFonts w:eastAsia="Times New Roman"/>
                                <w:color w:val="231F20"/>
                                <w:sz w:val="16"/>
                                <w:szCs w:val="16"/>
                              </w:rPr>
                              <w:t>m</w:t>
                            </w:r>
                          </w:p>
                        </w:txbxContent>
                      </wps:txbx>
                      <wps:bodyPr lIns="0" tIns="0" rIns="0" bIns="0" upright="1"/>
                    </wps:wsp>
                  </a:graphicData>
                </a:graphic>
              </wp:anchor>
            </w:drawing>
          </mc:Choice>
          <mc:Fallback>
            <w:pict>
              <v:shape id="_x0000_s1026" o:spid="_x0000_s1026" o:spt="202" type="#_x0000_t202" style="position:absolute;left:0pt;margin-left:187.65pt;margin-top:98.4pt;height:7.5pt;width:8.2pt;z-index:251667456;mso-width-relative:page;mso-height-relative:page;" filled="f" stroked="f" coordsize="21600,21600" o:gfxdata="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OK8QatoAAAALAQAADwAAAAAAAAABACAAAAAiAAAAZHJzL2Rvd25yZXYueG1sUEsB&#10;AhQAFAAAAAgAh07iQIBlLFC6AQAAcgMAAA4AAAAAAAAAAQAgAAAAKQEAAGRycy9lMm9Eb2MueG1s&#10;UEsFBgAAAAAGAAYAWQEAAFUFAAAAAA==&#10;">
                <v:fill on="f" focussize="0,0"/>
                <v:stroke on="f"/>
                <v:imagedata o:title=""/>
                <o:lock v:ext="edit" aspectratio="f"/>
                <v:textbox inset="0mm,0mm,0mm,0mm">
                  <w:txbxContent>
                    <w:p w14:paraId="3C848F91">
                      <w:pPr>
                        <w:spacing w:before="20" w:line="109" w:lineRule="exact"/>
                        <w:ind w:left="20"/>
                        <w:rPr>
                          <w:rFonts w:eastAsia="Times New Roman"/>
                          <w:sz w:val="16"/>
                          <w:szCs w:val="16"/>
                        </w:rPr>
                      </w:pPr>
                      <w:r>
                        <w:rPr>
                          <w:rFonts w:eastAsia="Times New Roman"/>
                          <w:color w:val="231F20"/>
                          <w:sz w:val="16"/>
                          <w:szCs w:val="16"/>
                        </w:rPr>
                        <w:t>m</w:t>
                      </w:r>
                    </w:p>
                  </w:txbxContent>
                </v:textbox>
              </v:shape>
            </w:pict>
          </mc:Fallback>
        </mc:AlternateContent>
      </w:r>
      <w:r>
        <w:rPr>
          <w:sz w:val="24"/>
        </w:rPr>
        <w:t>从</w:t>
      </w:r>
      <w:r>
        <w:fldChar w:fldCharType="begin"/>
      </w:r>
      <w:r>
        <w:instrText xml:space="preserve">HYPERLINK \l "bookmark31"</w:instrText>
      </w:r>
      <w:r>
        <w:fldChar w:fldCharType="separate"/>
      </w:r>
      <w:r>
        <w:rPr>
          <w:sz w:val="24"/>
        </w:rPr>
        <w:t>表 8</w:t>
      </w:r>
      <w:r>
        <w:fldChar w:fldCharType="end"/>
      </w:r>
      <w:r>
        <w:rPr>
          <w:sz w:val="24"/>
        </w:rPr>
        <w:t>可知</w:t>
      </w:r>
      <w:r>
        <w:rPr>
          <w:rFonts w:hint="eastAsia"/>
          <w:sz w:val="24"/>
        </w:rPr>
        <w:t>，</w:t>
      </w:r>
      <w:r>
        <w:rPr>
          <w:sz w:val="24"/>
        </w:rPr>
        <w:t>与对照组相比</w:t>
      </w:r>
      <w:r>
        <w:rPr>
          <w:rFonts w:hint="eastAsia"/>
          <w:sz w:val="24"/>
        </w:rPr>
        <w:t>，</w:t>
      </w:r>
      <w:r>
        <w:rPr>
          <w:sz w:val="24"/>
        </w:rPr>
        <w:t>CV25、CV50和CV75处理组框鳞镜鲤肌肉中Asp、Ser、Glu、Gly、 Tyr、Thr、Val、Ile、Leu、Phe、NEAA、EAA及∑AA含量显著升高</w:t>
      </w:r>
      <w:r>
        <w:rPr>
          <w:rFonts w:hint="eastAsia"/>
          <w:sz w:val="24"/>
        </w:rPr>
        <w:t>（</w:t>
      </w:r>
      <w:r>
        <w:rPr>
          <w:i/>
          <w:iCs/>
          <w:sz w:val="24"/>
        </w:rPr>
        <w:t>P</w:t>
      </w:r>
      <w:r>
        <w:rPr>
          <w:sz w:val="24"/>
        </w:rPr>
        <w:t>&lt;0.05</w:t>
      </w:r>
      <w:r>
        <w:rPr>
          <w:rFonts w:hint="eastAsia"/>
          <w:sz w:val="24"/>
        </w:rPr>
        <w:t>）</w:t>
      </w:r>
      <w:r>
        <w:rPr>
          <w:sz w:val="24"/>
        </w:rPr>
        <w:t xml:space="preserve"> 。CV50组Met、Lys、His、Arg含量在所有实验组中最高</w:t>
      </w:r>
      <w:r>
        <w:rPr>
          <w:rFonts w:hint="eastAsia"/>
          <w:sz w:val="24"/>
        </w:rPr>
        <w:t>，</w:t>
      </w:r>
      <w:r>
        <w:rPr>
          <w:sz w:val="24"/>
        </w:rPr>
        <w:t>且显著高于CV0、CV25、CV100处理组</w:t>
      </w:r>
      <w:r>
        <w:rPr>
          <w:rFonts w:hint="eastAsia"/>
          <w:sz w:val="24"/>
        </w:rPr>
        <w:t>（</w:t>
      </w:r>
      <w:r>
        <w:rPr>
          <w:i/>
          <w:iCs/>
          <w:sz w:val="24"/>
        </w:rPr>
        <w:t>P</w:t>
      </w:r>
      <w:r>
        <w:rPr>
          <w:sz w:val="24"/>
        </w:rPr>
        <w:t>&lt;0.05</w:t>
      </w:r>
      <w:r>
        <w:rPr>
          <w:rFonts w:hint="eastAsia"/>
          <w:sz w:val="24"/>
        </w:rPr>
        <w:t>）</w:t>
      </w:r>
      <w:r>
        <w:rPr>
          <w:sz w:val="24"/>
        </w:rPr>
        <w:t>。</w:t>
      </w:r>
    </w:p>
    <w:p w14:paraId="301E4AFC">
      <w:pPr>
        <w:spacing w:line="360" w:lineRule="auto"/>
        <w:ind w:firstLine="480" w:firstLineChars="200"/>
        <w:rPr>
          <w:sz w:val="24"/>
        </w:rPr>
      </w:pPr>
    </w:p>
    <w:p w14:paraId="152F7A12">
      <w:pPr>
        <w:spacing w:line="360" w:lineRule="auto"/>
        <w:jc w:val="center"/>
        <w:rPr>
          <w:sz w:val="24"/>
        </w:rPr>
      </w:pPr>
      <w:r>
        <w:drawing>
          <wp:inline distT="0" distB="0" distL="114300" distR="114300">
            <wp:extent cx="3092450" cy="5835650"/>
            <wp:effectExtent l="0" t="0" r="6350" b="6350"/>
            <wp:docPr id="6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4"/>
                    <pic:cNvPicPr>
                      <a:picLocks noChangeAspect="1"/>
                    </pic:cNvPicPr>
                  </pic:nvPicPr>
                  <pic:blipFill>
                    <a:blip r:embed="rId30"/>
                    <a:stretch>
                      <a:fillRect/>
                    </a:stretch>
                  </pic:blipFill>
                  <pic:spPr>
                    <a:xfrm>
                      <a:off x="0" y="0"/>
                      <a:ext cx="3092450" cy="5835650"/>
                    </a:xfrm>
                    <a:prstGeom prst="rect">
                      <a:avLst/>
                    </a:prstGeom>
                    <a:noFill/>
                    <a:ln>
                      <a:noFill/>
                    </a:ln>
                  </pic:spPr>
                </pic:pic>
              </a:graphicData>
            </a:graphic>
          </wp:inline>
        </w:drawing>
      </w:r>
    </w:p>
    <w:p w14:paraId="596AB3D1">
      <w:pPr>
        <w:spacing w:line="360" w:lineRule="auto"/>
        <w:ind w:firstLine="480" w:firstLineChars="200"/>
        <w:rPr>
          <w:sz w:val="24"/>
        </w:rPr>
      </w:pPr>
      <w:r>
        <w:rPr>
          <w:sz w:val="24"/>
        </w:rPr>
        <w:t>为了深入探究饲料中小球藻替代豆粕后对框鳞镜鲤肌肉氨基酸组成的影响</w:t>
      </w:r>
      <w:r>
        <w:rPr>
          <w:rFonts w:hint="eastAsia"/>
          <w:sz w:val="24"/>
        </w:rPr>
        <w:t>，</w:t>
      </w:r>
      <w:r>
        <w:rPr>
          <w:sz w:val="24"/>
        </w:rPr>
        <w:t>对肌肉氨基酸进行了主成分分析</w:t>
      </w:r>
      <w:r>
        <w:rPr>
          <w:rFonts w:hint="eastAsia"/>
          <w:sz w:val="24"/>
        </w:rPr>
        <w:t>，</w:t>
      </w:r>
      <w:r>
        <w:rPr>
          <w:sz w:val="24"/>
        </w:rPr>
        <w:t>从</w:t>
      </w:r>
      <w:r>
        <w:fldChar w:fldCharType="begin"/>
      </w:r>
      <w:r>
        <w:instrText xml:space="preserve"> HYPERLINK \l "bookmark32" </w:instrText>
      </w:r>
      <w:r>
        <w:fldChar w:fldCharType="separate"/>
      </w:r>
      <w:r>
        <w:rPr>
          <w:sz w:val="24"/>
        </w:rPr>
        <w:t>图 5</w:t>
      </w:r>
      <w:r>
        <w:rPr>
          <w:sz w:val="24"/>
        </w:rPr>
        <w:fldChar w:fldCharType="end"/>
      </w:r>
      <w:r>
        <w:rPr>
          <w:sz w:val="24"/>
        </w:rPr>
        <w:t>可知</w:t>
      </w:r>
      <w:r>
        <w:rPr>
          <w:rFonts w:hint="eastAsia"/>
          <w:sz w:val="24"/>
        </w:rPr>
        <w:t>，</w:t>
      </w:r>
      <w:r>
        <w:rPr>
          <w:sz w:val="24"/>
        </w:rPr>
        <w:t>主成分1</w:t>
      </w:r>
      <w:r>
        <w:rPr>
          <w:rFonts w:hint="eastAsia"/>
          <w:sz w:val="24"/>
        </w:rPr>
        <w:t>（</w:t>
      </w:r>
      <w:r>
        <w:rPr>
          <w:sz w:val="24"/>
        </w:rPr>
        <w:t>PCA1</w:t>
      </w:r>
      <w:r>
        <w:rPr>
          <w:rFonts w:hint="eastAsia"/>
          <w:sz w:val="24"/>
        </w:rPr>
        <w:t>）</w:t>
      </w:r>
      <w:r>
        <w:rPr>
          <w:sz w:val="24"/>
        </w:rPr>
        <w:t>包含所有肌肉氨基酸</w:t>
      </w:r>
      <w:r>
        <w:rPr>
          <w:rFonts w:hint="eastAsia"/>
          <w:sz w:val="24"/>
        </w:rPr>
        <w:t>（</w:t>
      </w:r>
      <w:r>
        <w:rPr>
          <w:sz w:val="24"/>
        </w:rPr>
        <w:t>包括各种非必需氨基酸、必需氨基酸</w:t>
      </w:r>
      <w:r>
        <w:rPr>
          <w:rFonts w:hint="eastAsia"/>
          <w:sz w:val="24"/>
        </w:rPr>
        <w:t>）</w:t>
      </w:r>
      <w:r>
        <w:rPr>
          <w:sz w:val="24"/>
        </w:rPr>
        <w:t xml:space="preserve"> 90.08%的信息</w:t>
      </w:r>
      <w:r>
        <w:rPr>
          <w:rFonts w:hint="eastAsia"/>
          <w:sz w:val="24"/>
        </w:rPr>
        <w:t>，</w:t>
      </w:r>
      <w:r>
        <w:rPr>
          <w:sz w:val="24"/>
        </w:rPr>
        <w:t>而主成分2</w:t>
      </w:r>
      <w:r>
        <w:rPr>
          <w:rFonts w:hint="eastAsia"/>
          <w:sz w:val="24"/>
        </w:rPr>
        <w:t>（</w:t>
      </w:r>
      <w:r>
        <w:rPr>
          <w:sz w:val="24"/>
        </w:rPr>
        <w:t>PCA2</w:t>
      </w:r>
      <w:r>
        <w:rPr>
          <w:rFonts w:hint="eastAsia"/>
          <w:sz w:val="24"/>
        </w:rPr>
        <w:t>）</w:t>
      </w:r>
      <w:r>
        <w:rPr>
          <w:sz w:val="24"/>
        </w:rPr>
        <w:t>可代表肌肉氨基酸</w:t>
      </w:r>
      <w:r>
        <w:rPr>
          <w:rFonts w:hint="eastAsia"/>
          <w:sz w:val="24"/>
        </w:rPr>
        <w:t>（</w:t>
      </w:r>
      <w:r>
        <w:rPr>
          <w:sz w:val="24"/>
        </w:rPr>
        <w:t>各种非必需氨基酸、必需氨基酸</w:t>
      </w:r>
      <w:r>
        <w:rPr>
          <w:rFonts w:hint="eastAsia"/>
          <w:sz w:val="24"/>
        </w:rPr>
        <w:t>）</w:t>
      </w:r>
      <w:r>
        <w:rPr>
          <w:sz w:val="24"/>
        </w:rPr>
        <w:t xml:space="preserve"> 5.53%的信息</w:t>
      </w:r>
      <w:r>
        <w:rPr>
          <w:rFonts w:hint="eastAsia"/>
          <w:sz w:val="24"/>
        </w:rPr>
        <w:t>，</w:t>
      </w:r>
      <w:r>
        <w:rPr>
          <w:sz w:val="24"/>
        </w:rPr>
        <w:t>所以主成分1</w:t>
      </w:r>
      <w:r>
        <w:rPr>
          <w:rFonts w:hint="eastAsia"/>
          <w:sz w:val="24"/>
        </w:rPr>
        <w:t>（</w:t>
      </w:r>
      <w:r>
        <w:rPr>
          <w:sz w:val="24"/>
        </w:rPr>
        <w:t>PCA1</w:t>
      </w:r>
      <w:r>
        <w:rPr>
          <w:rFonts w:hint="eastAsia"/>
          <w:sz w:val="24"/>
        </w:rPr>
        <w:t>）</w:t>
      </w:r>
      <w:r>
        <w:rPr>
          <w:sz w:val="24"/>
        </w:rPr>
        <w:t>与主成分2</w:t>
      </w:r>
      <w:r>
        <w:rPr>
          <w:rFonts w:hint="eastAsia"/>
          <w:sz w:val="24"/>
        </w:rPr>
        <w:t>（</w:t>
      </w:r>
      <w:r>
        <w:rPr>
          <w:sz w:val="24"/>
        </w:rPr>
        <w:t>PCA2</w:t>
      </w:r>
      <w:r>
        <w:rPr>
          <w:rFonts w:hint="eastAsia"/>
          <w:sz w:val="24"/>
        </w:rPr>
        <w:t>）</w:t>
      </w:r>
      <w:r>
        <w:rPr>
          <w:sz w:val="24"/>
        </w:rPr>
        <w:t>共代表所有质构指标的95.61%信息</w:t>
      </w:r>
      <w:r>
        <w:rPr>
          <w:rFonts w:hint="eastAsia"/>
          <w:sz w:val="24"/>
        </w:rPr>
        <w:t>，</w:t>
      </w:r>
      <w:r>
        <w:rPr>
          <w:sz w:val="24"/>
        </w:rPr>
        <w:t>因此</w:t>
      </w:r>
      <w:r>
        <w:rPr>
          <w:rFonts w:hint="eastAsia"/>
          <w:sz w:val="24"/>
        </w:rPr>
        <w:t>，</w:t>
      </w:r>
      <w:r>
        <w:rPr>
          <w:sz w:val="24"/>
        </w:rPr>
        <w:t>可采用主成分1</w:t>
      </w:r>
      <w:r>
        <w:rPr>
          <w:rFonts w:hint="eastAsia"/>
          <w:sz w:val="24"/>
        </w:rPr>
        <w:t>（</w:t>
      </w:r>
      <w:r>
        <w:rPr>
          <w:sz w:val="24"/>
        </w:rPr>
        <w:t>PCA1</w:t>
      </w:r>
      <w:r>
        <w:rPr>
          <w:rFonts w:hint="eastAsia"/>
          <w:sz w:val="24"/>
        </w:rPr>
        <w:t>）</w:t>
      </w:r>
      <w:r>
        <w:rPr>
          <w:sz w:val="24"/>
        </w:rPr>
        <w:t>与主成分2</w:t>
      </w:r>
      <w:r>
        <w:rPr>
          <w:rFonts w:hint="eastAsia"/>
          <w:sz w:val="24"/>
        </w:rPr>
        <w:t>（</w:t>
      </w:r>
      <w:r>
        <w:rPr>
          <w:sz w:val="24"/>
        </w:rPr>
        <w:t>PCA2</w:t>
      </w:r>
      <w:r>
        <w:rPr>
          <w:rFonts w:hint="eastAsia"/>
          <w:sz w:val="24"/>
        </w:rPr>
        <w:t>）</w:t>
      </w:r>
      <w:r>
        <w:rPr>
          <w:sz w:val="24"/>
        </w:rPr>
        <w:t>解释饲料中小球藻对框鳞镜鲤肌肉氨基酸含量的影响。如</w:t>
      </w:r>
      <w:r>
        <w:rPr>
          <w:sz w:val="24"/>
        </w:rPr>
        <w:fldChar w:fldCharType="begin"/>
      </w:r>
      <w:r>
        <w:rPr>
          <w:sz w:val="24"/>
        </w:rPr>
        <w:instrText xml:space="preserve"> HYPERLINK \l "bookmark33" </w:instrText>
      </w:r>
      <w:r>
        <w:rPr>
          <w:sz w:val="24"/>
        </w:rPr>
        <w:fldChar w:fldCharType="separate"/>
      </w:r>
      <w:r>
        <w:rPr>
          <w:sz w:val="24"/>
        </w:rPr>
        <w:t>图 5a</w:t>
      </w:r>
      <w:r>
        <w:rPr>
          <w:sz w:val="24"/>
        </w:rPr>
        <w:fldChar w:fldCharType="end"/>
      </w:r>
      <w:r>
        <w:rPr>
          <w:sz w:val="24"/>
        </w:rPr>
        <w:t>所示</w:t>
      </w:r>
      <w:r>
        <w:rPr>
          <w:rFonts w:hint="eastAsia"/>
          <w:sz w:val="24"/>
        </w:rPr>
        <w:t>，</w:t>
      </w:r>
      <w:r>
        <w:rPr>
          <w:sz w:val="24"/>
        </w:rPr>
        <w:t>CV25、CV50、CV75处理组与对照组和CV100处理组明显分开</w:t>
      </w:r>
      <w:r>
        <w:rPr>
          <w:rFonts w:hint="eastAsia"/>
          <w:sz w:val="24"/>
        </w:rPr>
        <w:t>，</w:t>
      </w:r>
      <w:r>
        <w:rPr>
          <w:sz w:val="24"/>
        </w:rPr>
        <w:t>表明CV25、CV50、CV75处理组肌肉氨基酸组成明显优于对照组和CV100处理组。</w:t>
      </w:r>
    </w:p>
    <w:p w14:paraId="6D814A5D">
      <w:pPr>
        <w:spacing w:line="360" w:lineRule="auto"/>
        <w:rPr>
          <w:sz w:val="24"/>
        </w:rPr>
      </w:pPr>
    </w:p>
    <w:p w14:paraId="140ED224">
      <w:pPr>
        <w:spacing w:line="360" w:lineRule="auto"/>
        <w:rPr>
          <w:sz w:val="24"/>
        </w:rPr>
      </w:pPr>
    </w:p>
    <w:p w14:paraId="17A06867">
      <w:pPr>
        <w:spacing w:line="360" w:lineRule="auto"/>
        <w:rPr>
          <w:sz w:val="24"/>
        </w:rPr>
      </w:pPr>
      <w:r>
        <w:drawing>
          <wp:inline distT="0" distB="0" distL="114300" distR="114300">
            <wp:extent cx="5975985" cy="2673350"/>
            <wp:effectExtent l="0" t="0" r="5715" b="6350"/>
            <wp:docPr id="6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5"/>
                    <pic:cNvPicPr>
                      <a:picLocks noChangeAspect="1"/>
                    </pic:cNvPicPr>
                  </pic:nvPicPr>
                  <pic:blipFill>
                    <a:blip r:embed="rId31"/>
                    <a:stretch>
                      <a:fillRect/>
                    </a:stretch>
                  </pic:blipFill>
                  <pic:spPr>
                    <a:xfrm>
                      <a:off x="0" y="0"/>
                      <a:ext cx="5975985" cy="2673350"/>
                    </a:xfrm>
                    <a:prstGeom prst="rect">
                      <a:avLst/>
                    </a:prstGeom>
                    <a:noFill/>
                    <a:ln>
                      <a:noFill/>
                    </a:ln>
                  </pic:spPr>
                </pic:pic>
              </a:graphicData>
            </a:graphic>
          </wp:inline>
        </w:drawing>
      </w:r>
    </w:p>
    <w:p w14:paraId="7FD1E92B">
      <w:pPr>
        <w:spacing w:line="360" w:lineRule="auto"/>
        <w:jc w:val="center"/>
        <w:rPr>
          <w:sz w:val="24"/>
        </w:rPr>
      </w:pPr>
      <w:r>
        <w:drawing>
          <wp:inline distT="0" distB="0" distL="114300" distR="114300">
            <wp:extent cx="3482340" cy="5911850"/>
            <wp:effectExtent l="0" t="0" r="10160" b="6350"/>
            <wp:docPr id="6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6"/>
                    <pic:cNvPicPr>
                      <a:picLocks noChangeAspect="1"/>
                    </pic:cNvPicPr>
                  </pic:nvPicPr>
                  <pic:blipFill>
                    <a:blip r:embed="rId32"/>
                    <a:stretch>
                      <a:fillRect/>
                    </a:stretch>
                  </pic:blipFill>
                  <pic:spPr>
                    <a:xfrm>
                      <a:off x="0" y="0"/>
                      <a:ext cx="3482340" cy="5911850"/>
                    </a:xfrm>
                    <a:prstGeom prst="rect">
                      <a:avLst/>
                    </a:prstGeom>
                    <a:noFill/>
                    <a:ln>
                      <a:noFill/>
                    </a:ln>
                  </pic:spPr>
                </pic:pic>
              </a:graphicData>
            </a:graphic>
          </wp:inline>
        </w:drawing>
      </w:r>
    </w:p>
    <w:p w14:paraId="32EB07D7">
      <w:pPr>
        <w:spacing w:line="360" w:lineRule="auto"/>
        <w:rPr>
          <w:sz w:val="24"/>
        </w:rPr>
      </w:pPr>
      <w:r>
        <w:rPr>
          <w:sz w:val="24"/>
        </w:rPr>
        <w:t>2.11  小球藻替代饲料豆粕对框鳞镜鲤肌肉脂肪酸组成的影响</w:t>
      </w:r>
    </w:p>
    <w:p w14:paraId="7D988843">
      <w:pPr>
        <w:spacing w:line="360" w:lineRule="auto"/>
        <w:ind w:firstLine="480" w:firstLineChars="200"/>
        <w:rPr>
          <w:sz w:val="24"/>
        </w:rPr>
      </w:pPr>
      <w:r>
        <w:rPr>
          <w:sz w:val="24"/>
        </w:rPr>
        <w:t>如</w:t>
      </w:r>
      <w:r>
        <w:fldChar w:fldCharType="begin"/>
      </w:r>
      <w:r>
        <w:instrText xml:space="preserve"> HYPERLINK \l "bookmark34" </w:instrText>
      </w:r>
      <w:r>
        <w:fldChar w:fldCharType="separate"/>
      </w:r>
      <w:r>
        <w:rPr>
          <w:sz w:val="24"/>
        </w:rPr>
        <w:t>表9</w:t>
      </w:r>
      <w:r>
        <w:rPr>
          <w:sz w:val="24"/>
        </w:rPr>
        <w:fldChar w:fldCharType="end"/>
      </w:r>
      <w:r>
        <w:rPr>
          <w:sz w:val="24"/>
        </w:rPr>
        <w:t>所示</w:t>
      </w:r>
      <w:r>
        <w:rPr>
          <w:rFonts w:hint="eastAsia"/>
          <w:sz w:val="24"/>
        </w:rPr>
        <w:t>，</w:t>
      </w:r>
      <w:r>
        <w:rPr>
          <w:sz w:val="24"/>
        </w:rPr>
        <w:t>与对照组相比</w:t>
      </w:r>
      <w:r>
        <w:rPr>
          <w:rFonts w:hint="eastAsia"/>
          <w:sz w:val="24"/>
        </w:rPr>
        <w:t>，</w:t>
      </w:r>
      <w:r>
        <w:rPr>
          <w:sz w:val="24"/>
        </w:rPr>
        <w:t>CV50、CV75和CV100处理组的C12﹕0含量显著降低</w:t>
      </w:r>
      <w:r>
        <w:rPr>
          <w:rFonts w:hint="eastAsia"/>
          <w:sz w:val="24"/>
        </w:rPr>
        <w:t>（</w:t>
      </w:r>
      <w:r>
        <w:rPr>
          <w:i/>
          <w:iCs/>
          <w:sz w:val="24"/>
        </w:rPr>
        <w:t>P</w:t>
      </w:r>
      <w:r>
        <w:rPr>
          <w:sz w:val="24"/>
        </w:rPr>
        <w:t>&lt;0.05</w:t>
      </w:r>
      <w:r>
        <w:rPr>
          <w:rFonts w:hint="eastAsia"/>
          <w:sz w:val="24"/>
        </w:rPr>
        <w:t>）</w:t>
      </w:r>
      <w:r>
        <w:rPr>
          <w:sz w:val="24"/>
        </w:rPr>
        <w:t>。而肌肉中C17﹕1n-7、C22﹕6n-3</w:t>
      </w:r>
      <w:r>
        <w:rPr>
          <w:rFonts w:hint="eastAsia"/>
          <w:sz w:val="24"/>
        </w:rPr>
        <w:t>（</w:t>
      </w:r>
      <w:r>
        <w:rPr>
          <w:sz w:val="24"/>
        </w:rPr>
        <w:t>DHA</w:t>
      </w:r>
      <w:r>
        <w:rPr>
          <w:rFonts w:hint="eastAsia"/>
          <w:sz w:val="24"/>
        </w:rPr>
        <w:t>）</w:t>
      </w:r>
      <w:r>
        <w:rPr>
          <w:sz w:val="24"/>
        </w:rPr>
        <w:t>和n-3 PUFA含量与C12﹕0含量呈相反的趋势</w:t>
      </w:r>
      <w:r>
        <w:rPr>
          <w:rFonts w:hint="eastAsia"/>
          <w:sz w:val="24"/>
        </w:rPr>
        <w:t>，</w:t>
      </w:r>
      <w:r>
        <w:rPr>
          <w:sz w:val="24"/>
        </w:rPr>
        <w:t>其中</w:t>
      </w:r>
      <w:r>
        <w:rPr>
          <w:rFonts w:hint="eastAsia"/>
          <w:sz w:val="24"/>
        </w:rPr>
        <w:t>，</w:t>
      </w:r>
      <w:r>
        <w:rPr>
          <w:sz w:val="24"/>
        </w:rPr>
        <w:t>CV100处理组C17﹕1n-7含量显著高于对照组</w:t>
      </w:r>
      <w:r>
        <w:rPr>
          <w:rFonts w:hint="eastAsia"/>
          <w:sz w:val="24"/>
        </w:rPr>
        <w:t>（</w:t>
      </w:r>
      <w:r>
        <w:rPr>
          <w:i/>
          <w:iCs/>
          <w:sz w:val="24"/>
        </w:rPr>
        <w:t>P</w:t>
      </w:r>
      <w:r>
        <w:rPr>
          <w:sz w:val="24"/>
        </w:rPr>
        <w:t>&lt;0.05</w:t>
      </w:r>
      <w:r>
        <w:rPr>
          <w:rFonts w:hint="eastAsia"/>
          <w:sz w:val="24"/>
        </w:rPr>
        <w:t>）</w:t>
      </w:r>
      <w:r>
        <w:rPr>
          <w:sz w:val="24"/>
        </w:rPr>
        <w:t>。然而</w:t>
      </w:r>
      <w:r>
        <w:rPr>
          <w:rFonts w:hint="eastAsia"/>
          <w:sz w:val="24"/>
        </w:rPr>
        <w:t>，</w:t>
      </w:r>
      <w:r>
        <w:rPr>
          <w:sz w:val="24"/>
        </w:rPr>
        <w:t>C18﹕1n-9、C18﹕2n-6、MUFA、n-6PUFA和PUFA含量随着饲料中小球藻替代豆粕含量的增加先上升后降</w:t>
      </w:r>
      <w:bookmarkStart w:id="35" w:name="bookmark29"/>
      <w:bookmarkEnd w:id="35"/>
      <w:bookmarkStart w:id="36" w:name="bookmark30"/>
      <w:bookmarkEnd w:id="36"/>
      <w:bookmarkStart w:id="37" w:name="bookmark28"/>
      <w:bookmarkEnd w:id="37"/>
      <w:bookmarkStart w:id="38" w:name="bookmark27"/>
      <w:bookmarkEnd w:id="38"/>
      <w:r>
        <w:rPr>
          <w:sz w:val="24"/>
        </w:rPr>
        <w:t>低</w:t>
      </w:r>
      <w:r>
        <w:rPr>
          <w:rFonts w:hint="eastAsia"/>
          <w:sz w:val="24"/>
        </w:rPr>
        <w:t>，</w:t>
      </w:r>
      <w:r>
        <w:rPr>
          <w:sz w:val="24"/>
        </w:rPr>
        <w:t>其中CV50处理组肌肉的C18﹕1n-9、C18﹕2n-6和MUFA水平显著高于CV0和CV100</w:t>
      </w:r>
      <w:r>
        <w:rPr>
          <w:rFonts w:hint="eastAsia"/>
          <w:sz w:val="24"/>
        </w:rPr>
        <w:t>（</w:t>
      </w:r>
      <w:r>
        <w:rPr>
          <w:i/>
          <w:iCs/>
          <w:sz w:val="24"/>
        </w:rPr>
        <w:t>P</w:t>
      </w:r>
      <w:r>
        <w:rPr>
          <w:sz w:val="24"/>
        </w:rPr>
        <w:t>&lt;0.05</w:t>
      </w:r>
      <w:r>
        <w:rPr>
          <w:rFonts w:hint="eastAsia"/>
          <w:sz w:val="24"/>
        </w:rPr>
        <w:t>），</w:t>
      </w:r>
      <w:r>
        <w:rPr>
          <w:sz w:val="24"/>
        </w:rPr>
        <w:t>与其他处理组无差异</w:t>
      </w:r>
      <w:r>
        <w:rPr>
          <w:rFonts w:hint="eastAsia"/>
          <w:sz w:val="24"/>
        </w:rPr>
        <w:t>（</w:t>
      </w:r>
      <w:r>
        <w:rPr>
          <w:i/>
          <w:iCs/>
          <w:sz w:val="24"/>
        </w:rPr>
        <w:t>P</w:t>
      </w:r>
      <w:r>
        <w:rPr>
          <w:rFonts w:hint="eastAsia"/>
          <w:sz w:val="24"/>
        </w:rPr>
        <w:t>&gt;0</w:t>
      </w:r>
      <w:r>
        <w:rPr>
          <w:sz w:val="24"/>
        </w:rPr>
        <w:t>.05</w:t>
      </w:r>
      <w:r>
        <w:rPr>
          <w:rFonts w:hint="eastAsia"/>
          <w:sz w:val="24"/>
        </w:rPr>
        <w:t>）；</w:t>
      </w:r>
      <w:r>
        <w:rPr>
          <w:sz w:val="24"/>
        </w:rPr>
        <w:t>与对照组相比</w:t>
      </w:r>
      <w:r>
        <w:rPr>
          <w:rFonts w:hint="eastAsia"/>
          <w:sz w:val="24"/>
        </w:rPr>
        <w:t>，</w:t>
      </w:r>
      <w:r>
        <w:rPr>
          <w:sz w:val="24"/>
        </w:rPr>
        <w:t>n-6PUFA和PUFA含量在CV50处理组中显著升高</w:t>
      </w:r>
      <w:r>
        <w:rPr>
          <w:rFonts w:hint="eastAsia"/>
          <w:sz w:val="24"/>
        </w:rPr>
        <w:t>（</w:t>
      </w:r>
      <w:r>
        <w:rPr>
          <w:i/>
          <w:iCs/>
          <w:sz w:val="24"/>
        </w:rPr>
        <w:t>P</w:t>
      </w:r>
      <w:r>
        <w:rPr>
          <w:sz w:val="24"/>
        </w:rPr>
        <w:t>&lt;0.05</w:t>
      </w:r>
      <w:r>
        <w:rPr>
          <w:rFonts w:hint="eastAsia"/>
          <w:sz w:val="24"/>
        </w:rPr>
        <w:t>）</w:t>
      </w:r>
      <w:r>
        <w:rPr>
          <w:sz w:val="24"/>
        </w:rPr>
        <w:t>。</w:t>
      </w:r>
    </w:p>
    <w:p w14:paraId="5FB06547">
      <w:pPr>
        <w:spacing w:line="360" w:lineRule="auto"/>
        <w:rPr>
          <w:sz w:val="24"/>
        </w:rPr>
      </w:pPr>
      <w:r>
        <w:rPr>
          <w:sz w:val="24"/>
        </w:rPr>
        <w:t>2.12  小球藻替代饲料豆粕对框鳞镜鲤肌肉质构特性的影响</w:t>
      </w:r>
    </w:p>
    <w:p w14:paraId="0D2A4736">
      <w:pPr>
        <w:spacing w:line="360" w:lineRule="auto"/>
        <w:ind w:firstLine="480" w:firstLineChars="200"/>
        <w:rPr>
          <w:sz w:val="24"/>
        </w:rPr>
      </w:pPr>
      <w:r>
        <w:rPr>
          <w:sz w:val="24"/>
        </w:rPr>
        <w:t>如</w:t>
      </w:r>
      <w:r>
        <w:fldChar w:fldCharType="begin"/>
      </w:r>
      <w:r>
        <w:instrText xml:space="preserve"> HYPERLINK \l "bookmark35" </w:instrText>
      </w:r>
      <w:r>
        <w:fldChar w:fldCharType="separate"/>
      </w:r>
      <w:r>
        <w:rPr>
          <w:sz w:val="24"/>
        </w:rPr>
        <w:t>表10</w:t>
      </w:r>
      <w:r>
        <w:rPr>
          <w:sz w:val="24"/>
        </w:rPr>
        <w:fldChar w:fldCharType="end"/>
      </w:r>
      <w:r>
        <w:rPr>
          <w:sz w:val="24"/>
        </w:rPr>
        <w:t>所示</w:t>
      </w:r>
      <w:r>
        <w:rPr>
          <w:rFonts w:hint="eastAsia"/>
          <w:sz w:val="24"/>
        </w:rPr>
        <w:t>，</w:t>
      </w:r>
      <w:r>
        <w:rPr>
          <w:sz w:val="24"/>
        </w:rPr>
        <w:t>在生肉质构特性方面</w:t>
      </w:r>
      <w:r>
        <w:rPr>
          <w:rFonts w:hint="eastAsia"/>
          <w:sz w:val="24"/>
        </w:rPr>
        <w:t>，</w:t>
      </w:r>
      <w:r>
        <w:rPr>
          <w:sz w:val="24"/>
        </w:rPr>
        <w:t>饲料中小球藻替代适量的豆粕可提升框鳞镜鲤肌肉生肉质构特性。小球藻替代饲料中25%、50%、75%和100%的豆粕</w:t>
      </w:r>
      <w:r>
        <w:rPr>
          <w:rFonts w:hint="eastAsia"/>
          <w:sz w:val="24"/>
        </w:rPr>
        <w:t>，</w:t>
      </w:r>
      <w:r>
        <w:rPr>
          <w:sz w:val="24"/>
        </w:rPr>
        <w:t>可显著提升框鳞镜鲤肌肉生肉的硬度、咀嚼性、胶着性和回复性</w:t>
      </w:r>
      <w:r>
        <w:rPr>
          <w:rFonts w:hint="eastAsia"/>
          <w:sz w:val="24"/>
        </w:rPr>
        <w:t>（</w:t>
      </w:r>
      <w:r>
        <w:rPr>
          <w:i/>
          <w:iCs/>
          <w:sz w:val="24"/>
        </w:rPr>
        <w:t>P</w:t>
      </w:r>
      <w:r>
        <w:rPr>
          <w:sz w:val="24"/>
        </w:rPr>
        <w:t>&lt;0.05</w:t>
      </w:r>
      <w:r>
        <w:rPr>
          <w:rFonts w:hint="eastAsia"/>
          <w:sz w:val="24"/>
        </w:rPr>
        <w:t>）</w:t>
      </w:r>
      <w:r>
        <w:rPr>
          <w:sz w:val="24"/>
        </w:rPr>
        <w:t>。与对照组相比</w:t>
      </w:r>
      <w:r>
        <w:rPr>
          <w:rFonts w:hint="eastAsia"/>
          <w:sz w:val="24"/>
        </w:rPr>
        <w:t>，</w:t>
      </w:r>
      <w:r>
        <w:rPr>
          <w:sz w:val="24"/>
        </w:rPr>
        <w:t>CV25、CV50、CV75处理组肌肉生肉的黏性</w:t>
      </w:r>
      <w:r>
        <w:rPr>
          <w:rFonts w:hint="eastAsia"/>
          <w:sz w:val="24"/>
        </w:rPr>
        <w:t>，</w:t>
      </w:r>
      <w:r>
        <w:rPr>
          <w:sz w:val="24"/>
        </w:rPr>
        <w:t>CV25和CV75处理组弹性</w:t>
      </w:r>
      <w:r>
        <w:rPr>
          <w:rFonts w:hint="eastAsia"/>
          <w:sz w:val="24"/>
        </w:rPr>
        <w:t>，</w:t>
      </w:r>
      <w:r>
        <w:rPr>
          <w:sz w:val="24"/>
        </w:rPr>
        <w:t>以及CV50处理组内聚性显著升高</w:t>
      </w:r>
      <w:r>
        <w:rPr>
          <w:rFonts w:hint="eastAsia"/>
          <w:sz w:val="24"/>
        </w:rPr>
        <w:t>（</w:t>
      </w:r>
      <w:r>
        <w:rPr>
          <w:i/>
          <w:iCs/>
          <w:sz w:val="24"/>
        </w:rPr>
        <w:t>P</w:t>
      </w:r>
      <w:r>
        <w:rPr>
          <w:sz w:val="24"/>
        </w:rPr>
        <w:t>&lt;0.05</w:t>
      </w:r>
      <w:r>
        <w:rPr>
          <w:rFonts w:hint="eastAsia"/>
          <w:sz w:val="24"/>
        </w:rPr>
        <w:t>）</w:t>
      </w:r>
      <w:r>
        <w:rPr>
          <w:sz w:val="24"/>
        </w:rPr>
        <w:t>。</w:t>
      </w:r>
    </w:p>
    <w:p w14:paraId="29FAA41B">
      <w:pPr>
        <w:spacing w:line="360" w:lineRule="auto"/>
        <w:ind w:firstLine="480" w:firstLineChars="200"/>
        <w:rPr>
          <w:sz w:val="24"/>
        </w:rPr>
      </w:pPr>
      <w:r>
        <w:rPr>
          <w:rFonts w:hint="eastAsia"/>
          <w:sz w:val="24"/>
        </w:rPr>
        <w:t>在肌肉熟肉质构特性方面</w:t>
      </w:r>
      <w:r>
        <w:rPr>
          <w:sz w:val="24"/>
        </w:rPr>
        <w:t xml:space="preserve">, </w:t>
      </w:r>
      <w:r>
        <w:rPr>
          <w:rFonts w:hint="eastAsia"/>
          <w:sz w:val="24"/>
        </w:rPr>
        <w:t>熟肉的</w:t>
      </w:r>
      <w:r>
        <w:rPr>
          <w:sz w:val="24"/>
        </w:rPr>
        <w:t>硬度、咀嚼性和胶着性与生肉的硬度、咀嚼性、胶着性表现出</w:t>
      </w:r>
      <w:r>
        <w:rPr>
          <w:rFonts w:hint="eastAsia"/>
          <w:sz w:val="24"/>
        </w:rPr>
        <w:t>一致</w:t>
      </w:r>
      <w:r>
        <w:rPr>
          <w:sz w:val="24"/>
        </w:rPr>
        <w:t>的</w:t>
      </w:r>
      <w:r>
        <w:rPr>
          <w:rFonts w:hint="eastAsia"/>
          <w:sz w:val="24"/>
        </w:rPr>
        <w:t>变化趋势（</w:t>
      </w:r>
      <w:r>
        <w:rPr>
          <w:sz w:val="24"/>
        </w:rPr>
        <w:t>P&lt;0.05</w:t>
      </w:r>
      <w:r>
        <w:rPr>
          <w:rFonts w:hint="eastAsia"/>
          <w:sz w:val="24"/>
        </w:rPr>
        <w:t>）</w:t>
      </w:r>
      <w:r>
        <w:rPr>
          <w:sz w:val="24"/>
        </w:rPr>
        <w:t>。与对照组相比</w:t>
      </w:r>
      <w:r>
        <w:rPr>
          <w:rFonts w:hint="eastAsia"/>
          <w:sz w:val="24"/>
        </w:rPr>
        <w:t>，</w:t>
      </w:r>
      <w:r>
        <w:rPr>
          <w:sz w:val="24"/>
        </w:rPr>
        <w:t>CV50和CV75处理组肌肉熟肉的弹性和内聚性</w:t>
      </w:r>
      <w:r>
        <w:rPr>
          <w:rFonts w:hint="eastAsia"/>
          <w:sz w:val="24"/>
        </w:rPr>
        <w:t>，</w:t>
      </w:r>
      <w:r>
        <w:rPr>
          <w:sz w:val="24"/>
        </w:rPr>
        <w:t>以及CV25处理组的回复性显著升高</w:t>
      </w:r>
      <w:r>
        <w:rPr>
          <w:rFonts w:hint="eastAsia"/>
          <w:sz w:val="24"/>
        </w:rPr>
        <w:t>（</w:t>
      </w:r>
      <w:r>
        <w:rPr>
          <w:sz w:val="24"/>
        </w:rPr>
        <w:t>P&lt;0.05</w:t>
      </w:r>
      <w:r>
        <w:rPr>
          <w:rFonts w:hint="eastAsia"/>
          <w:sz w:val="24"/>
        </w:rPr>
        <w:t>）</w:t>
      </w:r>
      <w:r>
        <w:rPr>
          <w:sz w:val="24"/>
        </w:rPr>
        <w:t>。</w:t>
      </w:r>
    </w:p>
    <w:p w14:paraId="0F767036">
      <w:pPr>
        <w:spacing w:line="360" w:lineRule="auto"/>
        <w:rPr>
          <w:sz w:val="24"/>
        </w:rPr>
      </w:pPr>
      <w:r>
        <w:drawing>
          <wp:inline distT="0" distB="0" distL="114300" distR="114300">
            <wp:extent cx="5974715" cy="3530600"/>
            <wp:effectExtent l="0" t="0" r="6985" b="0"/>
            <wp:docPr id="6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7"/>
                    <pic:cNvPicPr>
                      <a:picLocks noChangeAspect="1"/>
                    </pic:cNvPicPr>
                  </pic:nvPicPr>
                  <pic:blipFill>
                    <a:blip r:embed="rId33"/>
                    <a:stretch>
                      <a:fillRect/>
                    </a:stretch>
                  </pic:blipFill>
                  <pic:spPr>
                    <a:xfrm>
                      <a:off x="0" y="0"/>
                      <a:ext cx="5974715" cy="3530600"/>
                    </a:xfrm>
                    <a:prstGeom prst="rect">
                      <a:avLst/>
                    </a:prstGeom>
                    <a:noFill/>
                    <a:ln>
                      <a:noFill/>
                    </a:ln>
                  </pic:spPr>
                </pic:pic>
              </a:graphicData>
            </a:graphic>
          </wp:inline>
        </w:drawing>
      </w:r>
    </w:p>
    <w:p w14:paraId="4DBB7745">
      <w:pPr>
        <w:spacing w:line="360" w:lineRule="auto"/>
        <w:ind w:firstLine="480" w:firstLineChars="200"/>
      </w:pPr>
      <w:r>
        <w:rPr>
          <w:sz w:val="24"/>
        </w:rPr>
        <w:t>为了深入探究饲料中小球藻替代豆粕后对框鳞镜鲤肌肉质构特性的影响</w:t>
      </w:r>
      <w:r>
        <w:rPr>
          <w:rFonts w:hint="eastAsia"/>
          <w:sz w:val="24"/>
        </w:rPr>
        <w:t>，</w:t>
      </w:r>
      <w:r>
        <w:rPr>
          <w:sz w:val="24"/>
        </w:rPr>
        <w:t>对肌肉生肉和熟肉质构特性进行了主成分分析。框鳞镜鲤肌肉质构特性主成分分析如</w:t>
      </w:r>
      <w:r>
        <w:fldChar w:fldCharType="begin"/>
      </w:r>
      <w:r>
        <w:instrText xml:space="preserve"> HYPERLINK \l "bookmark36" </w:instrText>
      </w:r>
      <w:r>
        <w:fldChar w:fldCharType="separate"/>
      </w:r>
      <w:r>
        <w:rPr>
          <w:sz w:val="24"/>
        </w:rPr>
        <w:t>图6</w:t>
      </w:r>
      <w:r>
        <w:rPr>
          <w:sz w:val="24"/>
        </w:rPr>
        <w:fldChar w:fldCharType="end"/>
      </w:r>
      <w:r>
        <w:rPr>
          <w:sz w:val="24"/>
        </w:rPr>
        <w:t>所示</w:t>
      </w:r>
      <w:r>
        <w:rPr>
          <w:rFonts w:hint="eastAsia"/>
          <w:sz w:val="24"/>
        </w:rPr>
        <w:t>，</w:t>
      </w:r>
      <w:r>
        <w:rPr>
          <w:sz w:val="24"/>
        </w:rPr>
        <w:t>在生肉质构特性主成分分析方面</w:t>
      </w:r>
      <w:r>
        <w:rPr>
          <w:rFonts w:hint="eastAsia"/>
          <w:sz w:val="24"/>
        </w:rPr>
        <w:t>，</w:t>
      </w:r>
      <w:r>
        <w:rPr>
          <w:sz w:val="24"/>
        </w:rPr>
        <w:t>主成分1</w:t>
      </w:r>
      <w:r>
        <w:rPr>
          <w:rFonts w:hint="eastAsia"/>
          <w:sz w:val="24"/>
        </w:rPr>
        <w:t>（</w:t>
      </w:r>
      <w:r>
        <w:rPr>
          <w:sz w:val="24"/>
        </w:rPr>
        <w:t>PCA1</w:t>
      </w:r>
      <w:r>
        <w:rPr>
          <w:rFonts w:hint="eastAsia"/>
          <w:sz w:val="24"/>
        </w:rPr>
        <w:t>）</w:t>
      </w:r>
      <w:r>
        <w:rPr>
          <w:sz w:val="24"/>
        </w:rPr>
        <w:t>包含了所有的生肉质构特性指标</w:t>
      </w:r>
      <w:r>
        <w:rPr>
          <w:rFonts w:hint="eastAsia"/>
          <w:sz w:val="24"/>
        </w:rPr>
        <w:t>（</w:t>
      </w:r>
      <w:r>
        <w:rPr>
          <w:sz w:val="24"/>
        </w:rPr>
        <w:t>包括硬度、黏性、咀嚼性、胶着性、弹性、内聚性、回复性</w:t>
      </w:r>
      <w:r>
        <w:rPr>
          <w:rFonts w:hint="eastAsia"/>
          <w:sz w:val="24"/>
        </w:rPr>
        <w:t>）</w:t>
      </w:r>
      <w:r>
        <w:rPr>
          <w:sz w:val="24"/>
        </w:rPr>
        <w:t>74.85%的信息</w:t>
      </w:r>
      <w:r>
        <w:rPr>
          <w:rFonts w:hint="eastAsia"/>
          <w:sz w:val="24"/>
        </w:rPr>
        <w:t>，</w:t>
      </w:r>
      <w:r>
        <w:rPr>
          <w:sz w:val="24"/>
        </w:rPr>
        <w:t>主成分2</w:t>
      </w:r>
      <w:r>
        <w:rPr>
          <w:rFonts w:hint="eastAsia"/>
          <w:sz w:val="24"/>
        </w:rPr>
        <w:t>（</w:t>
      </w:r>
      <w:r>
        <w:rPr>
          <w:sz w:val="24"/>
        </w:rPr>
        <w:t>PCA2</w:t>
      </w:r>
      <w:r>
        <w:rPr>
          <w:rFonts w:hint="eastAsia"/>
          <w:sz w:val="24"/>
        </w:rPr>
        <w:t>）</w:t>
      </w:r>
      <w:r>
        <w:rPr>
          <w:sz w:val="24"/>
        </w:rPr>
        <w:t>可代表所有质构特性指标</w:t>
      </w:r>
      <w:r>
        <w:rPr>
          <w:rFonts w:hint="eastAsia"/>
          <w:sz w:val="24"/>
        </w:rPr>
        <w:t>（</w:t>
      </w:r>
      <w:r>
        <w:rPr>
          <w:sz w:val="24"/>
        </w:rPr>
        <w:t>包括硬度、黏性、咀嚼性、胶着性、弹性、内聚性、回复性</w:t>
      </w:r>
      <w:r>
        <w:rPr>
          <w:rFonts w:hint="eastAsia"/>
          <w:sz w:val="24"/>
        </w:rPr>
        <w:t>）</w:t>
      </w:r>
      <w:r>
        <w:rPr>
          <w:sz w:val="24"/>
        </w:rPr>
        <w:t>11.22%的</w:t>
      </w:r>
      <w:r>
        <w:rPr>
          <w:rFonts w:hint="eastAsia"/>
          <w:sz w:val="24"/>
        </w:rPr>
        <w:t>信息</w:t>
      </w:r>
      <w:bookmarkStart w:id="39" w:name="bookmark31"/>
      <w:bookmarkEnd w:id="39"/>
      <w:r>
        <w:rPr>
          <w:rFonts w:hint="eastAsia"/>
          <w:sz w:val="24"/>
        </w:rPr>
        <w:t>，</w:t>
      </w:r>
      <w:r>
        <w:rPr>
          <w:sz w:val="24"/>
        </w:rPr>
        <w:t xml:space="preserve">所以主成分1 </w:t>
      </w:r>
      <w:r>
        <w:rPr>
          <w:rFonts w:hint="eastAsia"/>
          <w:sz w:val="24"/>
        </w:rPr>
        <w:t>（</w:t>
      </w:r>
      <w:r>
        <w:rPr>
          <w:sz w:val="24"/>
        </w:rPr>
        <w:t>PCA1</w:t>
      </w:r>
      <w:r>
        <w:rPr>
          <w:rFonts w:hint="eastAsia"/>
          <w:sz w:val="24"/>
        </w:rPr>
        <w:t>）</w:t>
      </w:r>
      <w:r>
        <w:rPr>
          <w:sz w:val="24"/>
        </w:rPr>
        <w:t xml:space="preserve">与主成分2 </w:t>
      </w:r>
      <w:r>
        <w:rPr>
          <w:rFonts w:hint="eastAsia"/>
          <w:sz w:val="24"/>
        </w:rPr>
        <w:t>（</w:t>
      </w:r>
      <w:r>
        <w:rPr>
          <w:sz w:val="24"/>
        </w:rPr>
        <w:t>PCA2</w:t>
      </w:r>
      <w:r>
        <w:rPr>
          <w:rFonts w:hint="eastAsia"/>
          <w:sz w:val="24"/>
        </w:rPr>
        <w:t>）</w:t>
      </w:r>
      <w:r>
        <w:rPr>
          <w:sz w:val="24"/>
        </w:rPr>
        <w:t>共</w:t>
      </w:r>
      <w:r>
        <w:rPr>
          <w:rFonts w:hint="eastAsia"/>
          <w:sz w:val="24"/>
        </w:rPr>
        <w:t>代表</w:t>
      </w:r>
      <w:r>
        <w:rPr>
          <w:sz w:val="24"/>
        </w:rPr>
        <w:t>所有质构指标的86.07%</w:t>
      </w:r>
      <w:r>
        <w:rPr>
          <w:rFonts w:hint="eastAsia"/>
          <w:sz w:val="24"/>
        </w:rPr>
        <w:t>的信息</w:t>
      </w:r>
      <w:r>
        <w:rPr>
          <w:sz w:val="24"/>
        </w:rPr>
        <w:t>。因此</w:t>
      </w:r>
      <w:r>
        <w:rPr>
          <w:rFonts w:hint="eastAsia"/>
          <w:sz w:val="24"/>
        </w:rPr>
        <w:t>，</w:t>
      </w:r>
      <w:r>
        <w:rPr>
          <w:sz w:val="24"/>
        </w:rPr>
        <w:t>主成分1</w:t>
      </w:r>
      <w:r>
        <w:rPr>
          <w:rFonts w:hint="eastAsia"/>
          <w:sz w:val="24"/>
        </w:rPr>
        <w:t>（</w:t>
      </w:r>
      <w:r>
        <w:rPr>
          <w:sz w:val="24"/>
        </w:rPr>
        <w:t>PCA1</w:t>
      </w:r>
      <w:r>
        <w:rPr>
          <w:rFonts w:hint="eastAsia"/>
          <w:sz w:val="24"/>
        </w:rPr>
        <w:t>）</w:t>
      </w:r>
      <w:r>
        <w:rPr>
          <w:sz w:val="24"/>
        </w:rPr>
        <w:t>与主成分2</w:t>
      </w:r>
      <w:r>
        <w:rPr>
          <w:rFonts w:hint="eastAsia"/>
          <w:sz w:val="24"/>
        </w:rPr>
        <w:t>（</w:t>
      </w:r>
      <w:r>
        <w:rPr>
          <w:sz w:val="24"/>
        </w:rPr>
        <w:t>PCA2</w:t>
      </w:r>
      <w:r>
        <w:rPr>
          <w:rFonts w:hint="eastAsia"/>
          <w:sz w:val="24"/>
        </w:rPr>
        <w:t>）</w:t>
      </w:r>
      <w:r>
        <w:rPr>
          <w:sz w:val="24"/>
        </w:rPr>
        <w:t>可解释饲料中小球藻对框鳞镜鲤肌肉生肉质构的影响。通过</w:t>
      </w:r>
      <w:r>
        <w:rPr>
          <w:sz w:val="24"/>
        </w:rPr>
        <w:fldChar w:fldCharType="begin"/>
      </w:r>
      <w:r>
        <w:rPr>
          <w:sz w:val="24"/>
        </w:rPr>
        <w:instrText xml:space="preserve"> HYPERLINK \l "bookmark37" </w:instrText>
      </w:r>
      <w:r>
        <w:rPr>
          <w:sz w:val="24"/>
        </w:rPr>
        <w:fldChar w:fldCharType="separate"/>
      </w:r>
      <w:r>
        <w:rPr>
          <w:sz w:val="24"/>
        </w:rPr>
        <w:t>图 6a</w:t>
      </w:r>
      <w:r>
        <w:rPr>
          <w:sz w:val="24"/>
        </w:rPr>
        <w:fldChar w:fldCharType="end"/>
      </w:r>
      <w:r>
        <w:rPr>
          <w:sz w:val="24"/>
        </w:rPr>
        <w:t>可知</w:t>
      </w:r>
      <w:r>
        <w:rPr>
          <w:rFonts w:hint="eastAsia"/>
          <w:sz w:val="24"/>
        </w:rPr>
        <w:t>，</w:t>
      </w:r>
      <w:r>
        <w:rPr>
          <w:sz w:val="24"/>
        </w:rPr>
        <w:t>CV50处理组可与对照组、CV25、</w:t>
      </w:r>
      <w:r>
        <w:rPr>
          <w:rFonts w:hint="eastAsia"/>
          <w:sz w:val="24"/>
        </w:rPr>
        <w:t>CV75</w:t>
      </w:r>
      <w:r>
        <w:rPr>
          <w:sz w:val="24"/>
        </w:rPr>
        <w:t>、CV100处理组明显分开</w:t>
      </w:r>
      <w:r>
        <w:rPr>
          <w:rFonts w:hint="eastAsia"/>
          <w:sz w:val="24"/>
        </w:rPr>
        <w:t>，</w:t>
      </w:r>
      <w:r>
        <w:rPr>
          <w:sz w:val="24"/>
        </w:rPr>
        <w:t>表明CV50处理组肌肉生肉质构特性明显优于其他处理组。</w:t>
      </w:r>
    </w:p>
    <w:p w14:paraId="2BDB7FFD">
      <w:pPr>
        <w:spacing w:line="360" w:lineRule="auto"/>
        <w:jc w:val="center"/>
        <w:rPr>
          <w:sz w:val="24"/>
        </w:rPr>
      </w:pPr>
      <w:r>
        <w:drawing>
          <wp:inline distT="0" distB="0" distL="114300" distR="114300">
            <wp:extent cx="5842000" cy="4438650"/>
            <wp:effectExtent l="0" t="0" r="0" b="0"/>
            <wp:docPr id="6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9"/>
                    <pic:cNvPicPr>
                      <a:picLocks noChangeAspect="1"/>
                    </pic:cNvPicPr>
                  </pic:nvPicPr>
                  <pic:blipFill>
                    <a:blip r:embed="rId34"/>
                    <a:srcRect l="2232"/>
                    <a:stretch>
                      <a:fillRect/>
                    </a:stretch>
                  </pic:blipFill>
                  <pic:spPr>
                    <a:xfrm>
                      <a:off x="0" y="0"/>
                      <a:ext cx="5842000" cy="4438650"/>
                    </a:xfrm>
                    <a:prstGeom prst="rect">
                      <a:avLst/>
                    </a:prstGeom>
                    <a:noFill/>
                    <a:ln>
                      <a:noFill/>
                    </a:ln>
                  </pic:spPr>
                </pic:pic>
              </a:graphicData>
            </a:graphic>
          </wp:inline>
        </w:drawing>
      </w:r>
    </w:p>
    <w:p w14:paraId="1EC9D24C">
      <w:pPr>
        <w:spacing w:line="360" w:lineRule="auto"/>
        <w:ind w:firstLine="480" w:firstLineChars="200"/>
        <w:rPr>
          <w:sz w:val="24"/>
        </w:rPr>
      </w:pPr>
      <w:r>
        <w:rPr>
          <w:sz w:val="24"/>
        </w:rPr>
        <w:t>在熟肉质构特性主成分分析方面</w:t>
      </w:r>
      <w:r>
        <w:rPr>
          <w:rFonts w:hint="eastAsia"/>
          <w:sz w:val="24"/>
        </w:rPr>
        <w:t>，</w:t>
      </w:r>
      <w:r>
        <w:rPr>
          <w:sz w:val="24"/>
        </w:rPr>
        <w:t>从</w:t>
      </w:r>
      <w:r>
        <w:fldChar w:fldCharType="begin"/>
      </w:r>
      <w:r>
        <w:instrText xml:space="preserve"> HYPERLINK \l "bookmark38" </w:instrText>
      </w:r>
      <w:r>
        <w:fldChar w:fldCharType="separate"/>
      </w:r>
      <w:r>
        <w:rPr>
          <w:sz w:val="24"/>
        </w:rPr>
        <w:t>图 6</w:t>
      </w:r>
      <w:r>
        <w:rPr>
          <w:sz w:val="24"/>
        </w:rPr>
        <w:fldChar w:fldCharType="end"/>
      </w:r>
      <w:r>
        <w:rPr>
          <w:sz w:val="24"/>
        </w:rPr>
        <w:t>可知,主成分1</w:t>
      </w:r>
      <w:r>
        <w:rPr>
          <w:rFonts w:hint="eastAsia"/>
          <w:sz w:val="24"/>
        </w:rPr>
        <w:t>（</w:t>
      </w:r>
      <w:r>
        <w:rPr>
          <w:sz w:val="24"/>
        </w:rPr>
        <w:t>PCA1</w:t>
      </w:r>
      <w:r>
        <w:rPr>
          <w:rFonts w:hint="eastAsia"/>
          <w:sz w:val="24"/>
        </w:rPr>
        <w:t>）</w:t>
      </w:r>
      <w:r>
        <w:rPr>
          <w:sz w:val="24"/>
        </w:rPr>
        <w:t xml:space="preserve">包含了所有的熟肉质构特性指标 </w:t>
      </w:r>
      <w:r>
        <w:rPr>
          <w:rFonts w:hint="eastAsia"/>
          <w:sz w:val="24"/>
        </w:rPr>
        <w:t>（</w:t>
      </w:r>
      <w:r>
        <w:rPr>
          <w:sz w:val="24"/>
        </w:rPr>
        <w:t>包括硬度、黏性、咀嚼性、胶着性、弹性、内聚性、回复性</w:t>
      </w:r>
      <w:r>
        <w:rPr>
          <w:rFonts w:hint="eastAsia"/>
          <w:sz w:val="24"/>
        </w:rPr>
        <w:t>）</w:t>
      </w:r>
      <w:r>
        <w:rPr>
          <w:sz w:val="24"/>
        </w:rPr>
        <w:t xml:space="preserve"> 59.57%的信息。 而主成分2</w:t>
      </w:r>
      <w:r>
        <w:rPr>
          <w:rFonts w:hint="eastAsia"/>
          <w:sz w:val="24"/>
        </w:rPr>
        <w:t>（</w:t>
      </w:r>
      <w:r>
        <w:rPr>
          <w:sz w:val="24"/>
        </w:rPr>
        <w:t>PCA2</w:t>
      </w:r>
      <w:r>
        <w:rPr>
          <w:rFonts w:hint="eastAsia"/>
          <w:sz w:val="24"/>
        </w:rPr>
        <w:t>）</w:t>
      </w:r>
      <w:r>
        <w:rPr>
          <w:sz w:val="24"/>
        </w:rPr>
        <w:t>可代表所有熟肉质构特性指标</w:t>
      </w:r>
      <w:r>
        <w:rPr>
          <w:rFonts w:hint="eastAsia"/>
          <w:sz w:val="24"/>
        </w:rPr>
        <w:t>（</w:t>
      </w:r>
      <w:r>
        <w:rPr>
          <w:sz w:val="24"/>
        </w:rPr>
        <w:t>包括硬度、黏性、咀嚼性、胶着性、弹性、内聚性、回复性</w:t>
      </w:r>
      <w:r>
        <w:rPr>
          <w:rFonts w:hint="eastAsia"/>
          <w:sz w:val="24"/>
        </w:rPr>
        <w:t>）</w:t>
      </w:r>
      <w:r>
        <w:rPr>
          <w:sz w:val="24"/>
        </w:rPr>
        <w:t xml:space="preserve"> 16.00%的信息</w:t>
      </w:r>
      <w:r>
        <w:rPr>
          <w:rFonts w:hint="eastAsia"/>
          <w:sz w:val="24"/>
        </w:rPr>
        <w:t>，</w:t>
      </w:r>
      <w:r>
        <w:rPr>
          <w:sz w:val="24"/>
        </w:rPr>
        <w:t>所以主成分1</w:t>
      </w:r>
      <w:r>
        <w:rPr>
          <w:rFonts w:hint="eastAsia"/>
          <w:sz w:val="24"/>
        </w:rPr>
        <w:t>（</w:t>
      </w:r>
      <w:r>
        <w:rPr>
          <w:sz w:val="24"/>
        </w:rPr>
        <w:t>PCA1</w:t>
      </w:r>
      <w:r>
        <w:rPr>
          <w:rFonts w:hint="eastAsia"/>
          <w:sz w:val="24"/>
        </w:rPr>
        <w:t>）</w:t>
      </w:r>
      <w:r>
        <w:rPr>
          <w:sz w:val="24"/>
        </w:rPr>
        <w:t>与主成分2</w:t>
      </w:r>
      <w:r>
        <w:rPr>
          <w:rFonts w:hint="eastAsia"/>
          <w:sz w:val="24"/>
        </w:rPr>
        <w:t>（</w:t>
      </w:r>
      <w:r>
        <w:rPr>
          <w:sz w:val="24"/>
        </w:rPr>
        <w:t>PCA2</w:t>
      </w:r>
      <w:r>
        <w:rPr>
          <w:rFonts w:hint="eastAsia"/>
          <w:sz w:val="24"/>
        </w:rPr>
        <w:t>）</w:t>
      </w:r>
      <w:r>
        <w:rPr>
          <w:sz w:val="24"/>
        </w:rPr>
        <w:t>共代表所有质构指标的75.57%信息</w:t>
      </w:r>
      <w:r>
        <w:rPr>
          <w:rFonts w:hint="eastAsia"/>
          <w:sz w:val="24"/>
        </w:rPr>
        <w:t>，</w:t>
      </w:r>
      <w:r>
        <w:rPr>
          <w:sz w:val="24"/>
        </w:rPr>
        <w:t>因此主成分1</w:t>
      </w:r>
      <w:r>
        <w:rPr>
          <w:rFonts w:hint="eastAsia"/>
          <w:sz w:val="24"/>
        </w:rPr>
        <w:t>（</w:t>
      </w:r>
      <w:r>
        <w:rPr>
          <w:sz w:val="24"/>
        </w:rPr>
        <w:t>PCA1</w:t>
      </w:r>
      <w:r>
        <w:rPr>
          <w:rFonts w:hint="eastAsia"/>
          <w:sz w:val="24"/>
        </w:rPr>
        <w:t>）</w:t>
      </w:r>
      <w:r>
        <w:rPr>
          <w:sz w:val="24"/>
        </w:rPr>
        <w:t>与主成分2</w:t>
      </w:r>
      <w:r>
        <w:rPr>
          <w:rFonts w:hint="eastAsia"/>
          <w:sz w:val="24"/>
        </w:rPr>
        <w:t>（</w:t>
      </w:r>
      <w:r>
        <w:rPr>
          <w:sz w:val="24"/>
        </w:rPr>
        <w:t>PCA2</w:t>
      </w:r>
      <w:r>
        <w:rPr>
          <w:rFonts w:hint="eastAsia"/>
          <w:sz w:val="24"/>
        </w:rPr>
        <w:t>）</w:t>
      </w:r>
      <w:r>
        <w:rPr>
          <w:sz w:val="24"/>
        </w:rPr>
        <w:t>可用于解释饲料中小球藻对框鳞镜鲤肌肉熟肉质构的影响。通过</w:t>
      </w:r>
      <w:r>
        <w:rPr>
          <w:sz w:val="24"/>
        </w:rPr>
        <w:fldChar w:fldCharType="begin"/>
      </w:r>
      <w:r>
        <w:rPr>
          <w:sz w:val="24"/>
        </w:rPr>
        <w:instrText xml:space="preserve"> HYPERLINK \l "bookmark39" </w:instrText>
      </w:r>
      <w:r>
        <w:rPr>
          <w:sz w:val="24"/>
        </w:rPr>
        <w:fldChar w:fldCharType="separate"/>
      </w:r>
      <w:r>
        <w:rPr>
          <w:sz w:val="24"/>
        </w:rPr>
        <w:t>图 6c</w:t>
      </w:r>
      <w:r>
        <w:rPr>
          <w:sz w:val="24"/>
        </w:rPr>
        <w:fldChar w:fldCharType="end"/>
      </w:r>
      <w:r>
        <w:rPr>
          <w:sz w:val="24"/>
        </w:rPr>
        <w:t>可知</w:t>
      </w:r>
      <w:r>
        <w:rPr>
          <w:rFonts w:hint="eastAsia"/>
          <w:sz w:val="24"/>
        </w:rPr>
        <w:t>，</w:t>
      </w:r>
      <w:r>
        <w:rPr>
          <w:sz w:val="24"/>
        </w:rPr>
        <w:t>CV0</w:t>
      </w:r>
      <w:r>
        <w:rPr>
          <w:rFonts w:hint="eastAsia"/>
          <w:sz w:val="24"/>
        </w:rPr>
        <w:t>（</w:t>
      </w:r>
      <w:r>
        <w:rPr>
          <w:sz w:val="24"/>
        </w:rPr>
        <w:t>对照组</w:t>
      </w:r>
      <w:r>
        <w:rPr>
          <w:rFonts w:hint="eastAsia"/>
          <w:sz w:val="24"/>
        </w:rPr>
        <w:t>）</w:t>
      </w:r>
      <w:r>
        <w:rPr>
          <w:sz w:val="24"/>
        </w:rPr>
        <w:t>、CV100处理组可与CV25、CV50、CV75处理组明显分开</w:t>
      </w:r>
      <w:r>
        <w:rPr>
          <w:rFonts w:hint="eastAsia"/>
          <w:sz w:val="24"/>
        </w:rPr>
        <w:t>，</w:t>
      </w:r>
      <w:r>
        <w:rPr>
          <w:sz w:val="24"/>
        </w:rPr>
        <w:t>表明CV25、CV50、CV75处理组肌肉熟肉质构特性明显优于对照组和CV100处理组。</w:t>
      </w:r>
    </w:p>
    <w:p w14:paraId="3F9568BA">
      <w:pPr>
        <w:spacing w:line="360" w:lineRule="auto"/>
        <w:rPr>
          <w:sz w:val="24"/>
        </w:rPr>
      </w:pPr>
      <w:r>
        <w:rPr>
          <w:sz w:val="24"/>
        </w:rPr>
        <w:t>2.13  小球藻替代饲料豆粕对框鳞镜鲤肌肉肉色的影响</w:t>
      </w:r>
    </w:p>
    <w:p w14:paraId="61DF8D79">
      <w:pPr>
        <w:spacing w:line="360" w:lineRule="auto"/>
        <w:ind w:firstLine="480" w:firstLineChars="200"/>
        <w:rPr>
          <w:sz w:val="24"/>
        </w:rPr>
      </w:pPr>
      <w:r>
        <w:rPr>
          <w:sz w:val="24"/>
        </w:rPr>
        <w:t>从</w:t>
      </w:r>
      <w:r>
        <w:fldChar w:fldCharType="begin"/>
      </w:r>
      <w:r>
        <w:instrText xml:space="preserve"> HYPERLINK \l "bookmark40" </w:instrText>
      </w:r>
      <w:r>
        <w:fldChar w:fldCharType="separate"/>
      </w:r>
      <w:r>
        <w:rPr>
          <w:sz w:val="24"/>
        </w:rPr>
        <w:t>图7</w:t>
      </w:r>
      <w:r>
        <w:rPr>
          <w:sz w:val="24"/>
        </w:rPr>
        <w:fldChar w:fldCharType="end"/>
      </w:r>
      <w:r>
        <w:rPr>
          <w:sz w:val="24"/>
        </w:rPr>
        <w:t>可知</w:t>
      </w:r>
      <w:r>
        <w:rPr>
          <w:rFonts w:hint="eastAsia"/>
          <w:sz w:val="24"/>
        </w:rPr>
        <w:t>，</w:t>
      </w:r>
      <w:r>
        <w:rPr>
          <w:sz w:val="24"/>
        </w:rPr>
        <w:t>肌肉的红度值和黄度值随着饲料中</w:t>
      </w:r>
      <w:r>
        <w:rPr>
          <w:rFonts w:hint="eastAsia"/>
          <w:sz w:val="24"/>
        </w:rPr>
        <w:t>小球藻</w:t>
      </w:r>
      <w:r>
        <w:rPr>
          <w:sz w:val="24"/>
        </w:rPr>
        <w:t xml:space="preserve">水平的增加而增加 </w:t>
      </w:r>
      <w:r>
        <w:rPr>
          <w:rFonts w:hint="eastAsia"/>
          <w:sz w:val="24"/>
        </w:rPr>
        <w:t>，</w:t>
      </w:r>
      <w:r>
        <w:rPr>
          <w:sz w:val="24"/>
        </w:rPr>
        <w:t>与</w:t>
      </w:r>
      <w:r>
        <w:rPr>
          <w:rFonts w:hint="eastAsia"/>
          <w:sz w:val="24"/>
        </w:rPr>
        <w:t>对照组</w:t>
      </w:r>
      <w:r>
        <w:rPr>
          <w:sz w:val="24"/>
        </w:rPr>
        <w:t>相比</w:t>
      </w:r>
      <w:r>
        <w:rPr>
          <w:rFonts w:hint="eastAsia"/>
          <w:sz w:val="24"/>
        </w:rPr>
        <w:t>，</w:t>
      </w:r>
      <w:r>
        <w:rPr>
          <w:sz w:val="24"/>
        </w:rPr>
        <w:t>CV50、CV75和CV100组肌肉a*和b*显著升高</w:t>
      </w:r>
      <w:r>
        <w:rPr>
          <w:rFonts w:hint="eastAsia"/>
          <w:sz w:val="24"/>
        </w:rPr>
        <w:t>（</w:t>
      </w:r>
      <w:r>
        <w:rPr>
          <w:i/>
          <w:iCs/>
          <w:sz w:val="24"/>
        </w:rPr>
        <w:t>P</w:t>
      </w:r>
      <w:r>
        <w:rPr>
          <w:sz w:val="24"/>
        </w:rPr>
        <w:t>&lt;0.05</w:t>
      </w:r>
      <w:r>
        <w:rPr>
          <w:rFonts w:hint="eastAsia"/>
          <w:sz w:val="24"/>
        </w:rPr>
        <w:t>）</w:t>
      </w:r>
      <w:r>
        <w:rPr>
          <w:sz w:val="24"/>
        </w:rPr>
        <w:t>。</w:t>
      </w:r>
    </w:p>
    <w:p w14:paraId="584335FE">
      <w:pPr>
        <w:spacing w:line="360" w:lineRule="auto"/>
        <w:jc w:val="center"/>
        <w:rPr>
          <w:sz w:val="24"/>
        </w:rPr>
      </w:pPr>
      <w:r>
        <w:drawing>
          <wp:inline distT="0" distB="0" distL="114300" distR="114300">
            <wp:extent cx="5543550" cy="2152650"/>
            <wp:effectExtent l="0" t="0" r="6350" b="6350"/>
            <wp:docPr id="6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0"/>
                    <pic:cNvPicPr>
                      <a:picLocks noChangeAspect="1"/>
                    </pic:cNvPicPr>
                  </pic:nvPicPr>
                  <pic:blipFill>
                    <a:blip r:embed="rId35"/>
                    <a:stretch>
                      <a:fillRect/>
                    </a:stretch>
                  </pic:blipFill>
                  <pic:spPr>
                    <a:xfrm>
                      <a:off x="0" y="0"/>
                      <a:ext cx="5543550" cy="2152650"/>
                    </a:xfrm>
                    <a:prstGeom prst="rect">
                      <a:avLst/>
                    </a:prstGeom>
                    <a:noFill/>
                    <a:ln>
                      <a:noFill/>
                    </a:ln>
                  </pic:spPr>
                </pic:pic>
              </a:graphicData>
            </a:graphic>
          </wp:inline>
        </w:drawing>
      </w:r>
    </w:p>
    <w:p w14:paraId="257B45B7">
      <w:pPr>
        <w:spacing w:line="360" w:lineRule="auto"/>
        <w:rPr>
          <w:sz w:val="24"/>
        </w:rPr>
      </w:pPr>
      <w:r>
        <w:drawing>
          <wp:inline distT="0" distB="0" distL="114300" distR="114300">
            <wp:extent cx="5970270" cy="3427095"/>
            <wp:effectExtent l="0" t="0" r="11430" b="1905"/>
            <wp:docPr id="6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1"/>
                    <pic:cNvPicPr>
                      <a:picLocks noChangeAspect="1"/>
                    </pic:cNvPicPr>
                  </pic:nvPicPr>
                  <pic:blipFill>
                    <a:blip r:embed="rId36"/>
                    <a:stretch>
                      <a:fillRect/>
                    </a:stretch>
                  </pic:blipFill>
                  <pic:spPr>
                    <a:xfrm>
                      <a:off x="0" y="0"/>
                      <a:ext cx="5970270" cy="3427095"/>
                    </a:xfrm>
                    <a:prstGeom prst="rect">
                      <a:avLst/>
                    </a:prstGeom>
                    <a:noFill/>
                    <a:ln>
                      <a:noFill/>
                    </a:ln>
                  </pic:spPr>
                </pic:pic>
              </a:graphicData>
            </a:graphic>
          </wp:inline>
        </w:drawing>
      </w:r>
    </w:p>
    <w:p w14:paraId="052E3B4D">
      <w:pPr>
        <w:spacing w:line="360" w:lineRule="auto"/>
        <w:rPr>
          <w:sz w:val="24"/>
        </w:rPr>
      </w:pPr>
      <w:r>
        <w:rPr>
          <w:sz w:val="24"/>
        </w:rPr>
        <w:t>2.14  小球藻替代饲料豆粕对框鳞镜鲤肠道菌群的影响</w:t>
      </w:r>
    </w:p>
    <w:p w14:paraId="59A5A6D4">
      <w:pPr>
        <w:spacing w:line="360" w:lineRule="auto"/>
        <w:ind w:firstLine="480" w:firstLineChars="200"/>
        <w:rPr>
          <w:sz w:val="24"/>
        </w:rPr>
      </w:pPr>
      <w:r>
        <w:rPr>
          <w:sz w:val="24"/>
        </w:rPr>
        <w:t>为探究小球藻替代豆粕后对框鳞镜鲤肠道菌群的影响</w:t>
      </w:r>
      <w:r>
        <w:rPr>
          <w:rFonts w:hint="eastAsia"/>
          <w:sz w:val="24"/>
        </w:rPr>
        <w:t>，</w:t>
      </w:r>
      <w:r>
        <w:rPr>
          <w:sz w:val="24"/>
        </w:rPr>
        <w:t>本研究将对照组</w:t>
      </w:r>
      <w:r>
        <w:rPr>
          <w:rFonts w:hint="eastAsia"/>
          <w:sz w:val="24"/>
        </w:rPr>
        <w:t>（</w:t>
      </w:r>
      <w:r>
        <w:rPr>
          <w:sz w:val="24"/>
        </w:rPr>
        <w:t>CV0</w:t>
      </w:r>
      <w:r>
        <w:rPr>
          <w:rFonts w:hint="eastAsia"/>
          <w:sz w:val="24"/>
        </w:rPr>
        <w:t>）</w:t>
      </w:r>
      <w:r>
        <w:rPr>
          <w:sz w:val="24"/>
        </w:rPr>
        <w:t>、50%替代组</w:t>
      </w:r>
      <w:r>
        <w:rPr>
          <w:rFonts w:hint="eastAsia"/>
          <w:sz w:val="24"/>
        </w:rPr>
        <w:t>（</w:t>
      </w:r>
      <w:r>
        <w:rPr>
          <w:sz w:val="24"/>
        </w:rPr>
        <w:t>CV50</w:t>
      </w:r>
      <w:r>
        <w:rPr>
          <w:rFonts w:hint="eastAsia"/>
          <w:sz w:val="24"/>
        </w:rPr>
        <w:t>）</w:t>
      </w:r>
      <w:r>
        <w:rPr>
          <w:sz w:val="24"/>
        </w:rPr>
        <w:t>及100%替代组</w:t>
      </w:r>
      <w:r>
        <w:rPr>
          <w:rFonts w:hint="eastAsia"/>
          <w:sz w:val="24"/>
        </w:rPr>
        <w:t>（</w:t>
      </w:r>
      <w:r>
        <w:rPr>
          <w:sz w:val="24"/>
        </w:rPr>
        <w:t>CV100</w:t>
      </w:r>
      <w:r>
        <w:rPr>
          <w:rFonts w:hint="eastAsia"/>
          <w:sz w:val="24"/>
        </w:rPr>
        <w:t>）</w:t>
      </w:r>
      <w:r>
        <w:rPr>
          <w:sz w:val="24"/>
        </w:rPr>
        <w:t>框鳞镜鲤肠道菌群进行检测分析</w:t>
      </w:r>
      <w:r>
        <w:rPr>
          <w:rFonts w:hint="eastAsia"/>
          <w:sz w:val="24"/>
        </w:rPr>
        <w:t>，</w:t>
      </w:r>
      <w:r>
        <w:rPr>
          <w:sz w:val="24"/>
        </w:rPr>
        <w:t>其结果如</w:t>
      </w:r>
      <w:r>
        <w:fldChar w:fldCharType="begin"/>
      </w:r>
      <w:r>
        <w:instrText xml:space="preserve"> HYPERLINK \l "bookmark41" </w:instrText>
      </w:r>
      <w:r>
        <w:fldChar w:fldCharType="separate"/>
      </w:r>
      <w:r>
        <w:rPr>
          <w:sz w:val="24"/>
        </w:rPr>
        <w:t>图 8</w:t>
      </w:r>
      <w:r>
        <w:rPr>
          <w:sz w:val="24"/>
        </w:rPr>
        <w:fldChar w:fldCharType="end"/>
      </w:r>
      <w:r>
        <w:rPr>
          <w:sz w:val="24"/>
        </w:rPr>
        <w:t>和</w:t>
      </w:r>
      <w:r>
        <w:rPr>
          <w:sz w:val="24"/>
        </w:rPr>
        <w:fldChar w:fldCharType="begin"/>
      </w:r>
      <w:r>
        <w:rPr>
          <w:sz w:val="24"/>
        </w:rPr>
        <w:instrText xml:space="preserve"> HYPERLINK \l "bookmark42" </w:instrText>
      </w:r>
      <w:r>
        <w:rPr>
          <w:sz w:val="24"/>
        </w:rPr>
        <w:fldChar w:fldCharType="separate"/>
      </w:r>
      <w:r>
        <w:rPr>
          <w:sz w:val="24"/>
        </w:rPr>
        <w:t>表 11</w:t>
      </w:r>
      <w:r>
        <w:rPr>
          <w:sz w:val="24"/>
        </w:rPr>
        <w:fldChar w:fldCharType="end"/>
      </w:r>
      <w:r>
        <w:rPr>
          <w:sz w:val="24"/>
        </w:rPr>
        <w:t>所示。从检测结果可知</w:t>
      </w:r>
      <w:r>
        <w:rPr>
          <w:rFonts w:hint="eastAsia"/>
          <w:sz w:val="24"/>
        </w:rPr>
        <w:t>，</w:t>
      </w:r>
      <w:r>
        <w:rPr>
          <w:sz w:val="24"/>
        </w:rPr>
        <w:t>CV0、CV50和CV100处理组肠道菌群在α 多样性指数Simpson、Chao 1及Shannon上均无显著差异</w:t>
      </w:r>
      <w:r>
        <w:rPr>
          <w:rFonts w:hint="eastAsia"/>
          <w:sz w:val="24"/>
        </w:rPr>
        <w:t>（</w:t>
      </w:r>
      <w:r>
        <w:rPr>
          <w:i/>
          <w:iCs/>
          <w:sz w:val="24"/>
        </w:rPr>
        <w:t>P</w:t>
      </w:r>
      <w:r>
        <w:rPr>
          <w:sz w:val="24"/>
        </w:rPr>
        <w:t>&gt;0.05</w:t>
      </w:r>
      <w:r>
        <w:rPr>
          <w:rFonts w:hint="eastAsia"/>
          <w:sz w:val="24"/>
        </w:rPr>
        <w:t>；</w:t>
      </w:r>
      <w:r>
        <w:rPr>
          <w:sz w:val="24"/>
        </w:rPr>
        <w:fldChar w:fldCharType="begin"/>
      </w:r>
      <w:r>
        <w:rPr>
          <w:sz w:val="24"/>
        </w:rPr>
        <w:instrText xml:space="preserve"> HYPERLINK \l "bookmark43" </w:instrText>
      </w:r>
      <w:r>
        <w:rPr>
          <w:sz w:val="24"/>
        </w:rPr>
        <w:fldChar w:fldCharType="separate"/>
      </w:r>
      <w:r>
        <w:rPr>
          <w:sz w:val="24"/>
        </w:rPr>
        <w:t>图8a</w:t>
      </w:r>
      <w:r>
        <w:rPr>
          <w:sz w:val="24"/>
        </w:rPr>
        <w:fldChar w:fldCharType="end"/>
      </w:r>
      <w:r>
        <w:rPr>
          <w:rFonts w:hint="eastAsia"/>
          <w:sz w:val="24"/>
        </w:rPr>
        <w:t>）</w:t>
      </w:r>
      <w:r>
        <w:rPr>
          <w:sz w:val="24"/>
        </w:rPr>
        <w:t>。在β多样性分析中</w:t>
      </w:r>
      <w:r>
        <w:rPr>
          <w:rFonts w:hint="eastAsia"/>
          <w:sz w:val="24"/>
        </w:rPr>
        <w:t>，</w:t>
      </w:r>
      <w:r>
        <w:rPr>
          <w:sz w:val="24"/>
        </w:rPr>
        <w:t>PCoA主成分分析结果显示</w:t>
      </w:r>
      <w:r>
        <w:rPr>
          <w:rFonts w:hint="eastAsia"/>
          <w:sz w:val="24"/>
        </w:rPr>
        <w:t>，</w:t>
      </w:r>
      <w:r>
        <w:rPr>
          <w:sz w:val="24"/>
        </w:rPr>
        <w:t>CV50处理组与对照组明显分离</w:t>
      </w:r>
      <w:r>
        <w:rPr>
          <w:rFonts w:hint="eastAsia"/>
          <w:sz w:val="24"/>
        </w:rPr>
        <w:t>（</w:t>
      </w:r>
      <w:r>
        <w:fldChar w:fldCharType="begin"/>
      </w:r>
      <w:r>
        <w:instrText xml:space="preserve"> HYPERLINK \l "bookmark44" </w:instrText>
      </w:r>
      <w:r>
        <w:fldChar w:fldCharType="separate"/>
      </w:r>
      <w:r>
        <w:rPr>
          <w:sz w:val="24"/>
        </w:rPr>
        <w:t>图8b</w:t>
      </w:r>
      <w:r>
        <w:rPr>
          <w:sz w:val="24"/>
        </w:rPr>
        <w:fldChar w:fldCharType="end"/>
      </w:r>
      <w:r>
        <w:rPr>
          <w:rFonts w:hint="eastAsia"/>
          <w:sz w:val="24"/>
        </w:rPr>
        <w:t>），</w:t>
      </w:r>
      <w:r>
        <w:rPr>
          <w:sz w:val="24"/>
        </w:rPr>
        <w:t>表明两个处理组物种组成存在明显差异。在门水平上</w:t>
      </w:r>
      <w:r>
        <w:rPr>
          <w:rFonts w:hint="eastAsia"/>
          <w:sz w:val="24"/>
        </w:rPr>
        <w:t>，</w:t>
      </w:r>
      <w:r>
        <w:rPr>
          <w:sz w:val="24"/>
        </w:rPr>
        <w:t>三个处理组的框鳞</w:t>
      </w:r>
      <w:r>
        <w:rPr>
          <w:rFonts w:hint="eastAsia"/>
          <w:sz w:val="24"/>
        </w:rPr>
        <w:t>镜鲤肠道</w:t>
      </w:r>
      <w:r>
        <w:rPr>
          <w:sz w:val="24"/>
        </w:rPr>
        <w:t>菌群主要由变形菌门</w:t>
      </w:r>
      <w:r>
        <w:rPr>
          <w:rFonts w:hint="eastAsia"/>
          <w:sz w:val="24"/>
        </w:rPr>
        <w:t>（</w:t>
      </w:r>
      <w:r>
        <w:rPr>
          <w:sz w:val="24"/>
        </w:rPr>
        <w:t>Proteobacteria</w:t>
      </w:r>
      <w:r>
        <w:rPr>
          <w:rFonts w:hint="eastAsia"/>
          <w:sz w:val="24"/>
        </w:rPr>
        <w:t>）</w:t>
      </w:r>
      <w:r>
        <w:rPr>
          <w:sz w:val="24"/>
        </w:rPr>
        <w:t>、梭杆菌门</w:t>
      </w:r>
      <w:r>
        <w:rPr>
          <w:rFonts w:hint="eastAsia"/>
          <w:sz w:val="24"/>
        </w:rPr>
        <w:t>（</w:t>
      </w:r>
      <w:r>
        <w:rPr>
          <w:sz w:val="24"/>
        </w:rPr>
        <w:t>Fusobacteriota</w:t>
      </w:r>
      <w:r>
        <w:rPr>
          <w:rFonts w:hint="eastAsia"/>
          <w:sz w:val="24"/>
        </w:rPr>
        <w:t>）</w:t>
      </w:r>
      <w:r>
        <w:rPr>
          <w:sz w:val="24"/>
        </w:rPr>
        <w:t>、厚壁菌门</w:t>
      </w:r>
      <w:r>
        <w:rPr>
          <w:rFonts w:hint="eastAsia"/>
          <w:sz w:val="24"/>
        </w:rPr>
        <w:t>（</w:t>
      </w:r>
      <w:r>
        <w:rPr>
          <w:sz w:val="24"/>
        </w:rPr>
        <w:t>Firmicutes</w:t>
      </w:r>
      <w:r>
        <w:rPr>
          <w:rFonts w:hint="eastAsia"/>
          <w:sz w:val="24"/>
        </w:rPr>
        <w:t>）</w:t>
      </w:r>
      <w:r>
        <w:rPr>
          <w:sz w:val="24"/>
        </w:rPr>
        <w:t>、疣微菌门</w:t>
      </w:r>
      <w:r>
        <w:rPr>
          <w:rFonts w:hint="eastAsia"/>
          <w:sz w:val="24"/>
        </w:rPr>
        <w:t>（</w:t>
      </w:r>
      <w:r>
        <w:rPr>
          <w:sz w:val="24"/>
        </w:rPr>
        <w:t>Verrucomicrobiota</w:t>
      </w:r>
      <w:r>
        <w:rPr>
          <w:rFonts w:hint="eastAsia"/>
          <w:sz w:val="24"/>
        </w:rPr>
        <w:t>）</w:t>
      </w:r>
      <w:r>
        <w:rPr>
          <w:sz w:val="24"/>
        </w:rPr>
        <w:t>、绿弯菌门</w:t>
      </w:r>
      <w:r>
        <w:rPr>
          <w:rFonts w:hint="eastAsia"/>
          <w:sz w:val="24"/>
        </w:rPr>
        <w:t>（</w:t>
      </w:r>
      <w:r>
        <w:rPr>
          <w:sz w:val="24"/>
        </w:rPr>
        <w:t>Chloroflexi</w:t>
      </w:r>
      <w:r>
        <w:rPr>
          <w:rFonts w:hint="eastAsia"/>
          <w:sz w:val="24"/>
        </w:rPr>
        <w:t>）</w:t>
      </w:r>
      <w:r>
        <w:rPr>
          <w:sz w:val="24"/>
        </w:rPr>
        <w:t>组成</w:t>
      </w:r>
      <w:r>
        <w:rPr>
          <w:rFonts w:hint="eastAsia"/>
          <w:sz w:val="24"/>
        </w:rPr>
        <w:t>（</w:t>
      </w:r>
      <w:r>
        <w:fldChar w:fldCharType="begin"/>
      </w:r>
      <w:r>
        <w:instrText xml:space="preserve"> HYPERLINK \l "bookmark45" </w:instrText>
      </w:r>
      <w:r>
        <w:fldChar w:fldCharType="separate"/>
      </w:r>
      <w:r>
        <w:rPr>
          <w:sz w:val="24"/>
        </w:rPr>
        <w:t>图8c</w:t>
      </w:r>
      <w:r>
        <w:rPr>
          <w:sz w:val="24"/>
        </w:rPr>
        <w:fldChar w:fldCharType="end"/>
      </w:r>
      <w:r>
        <w:rPr>
          <w:rFonts w:hint="eastAsia"/>
          <w:sz w:val="24"/>
        </w:rPr>
        <w:t>）</w:t>
      </w:r>
      <w:r>
        <w:rPr>
          <w:sz w:val="24"/>
        </w:rPr>
        <w:t>。其中</w:t>
      </w:r>
      <w:r>
        <w:rPr>
          <w:rFonts w:hint="eastAsia"/>
          <w:sz w:val="24"/>
        </w:rPr>
        <w:t>，</w:t>
      </w:r>
      <w:r>
        <w:rPr>
          <w:sz w:val="24"/>
        </w:rPr>
        <w:t>CV50处理组中的疣微菌门</w:t>
      </w:r>
      <w:r>
        <w:rPr>
          <w:rFonts w:hint="eastAsia"/>
          <w:sz w:val="24"/>
        </w:rPr>
        <w:t>（Verrucomicrobiota）</w:t>
      </w:r>
      <w:r>
        <w:rPr>
          <w:sz w:val="24"/>
        </w:rPr>
        <w:t>相对丰度明显高于CV100处理组</w:t>
      </w:r>
      <w:r>
        <w:rPr>
          <w:rFonts w:hint="eastAsia"/>
          <w:sz w:val="24"/>
        </w:rPr>
        <w:t>（</w:t>
      </w:r>
      <w:r>
        <w:rPr>
          <w:i/>
          <w:iCs/>
          <w:sz w:val="24"/>
        </w:rPr>
        <w:t>P</w:t>
      </w:r>
      <w:r>
        <w:rPr>
          <w:sz w:val="24"/>
        </w:rPr>
        <w:t>&lt;0.05</w:t>
      </w:r>
      <w:r>
        <w:rPr>
          <w:rFonts w:hint="eastAsia"/>
          <w:sz w:val="24"/>
        </w:rPr>
        <w:t>），</w:t>
      </w:r>
      <w:r>
        <w:rPr>
          <w:sz w:val="24"/>
        </w:rPr>
        <w:t>而与对照组无显著差异</w:t>
      </w:r>
      <w:r>
        <w:rPr>
          <w:rFonts w:hint="eastAsia"/>
          <w:sz w:val="24"/>
        </w:rPr>
        <w:t>（</w:t>
      </w:r>
      <w:r>
        <w:rPr>
          <w:i/>
          <w:iCs/>
          <w:sz w:val="24"/>
        </w:rPr>
        <w:t>P</w:t>
      </w:r>
      <w:r>
        <w:rPr>
          <w:rFonts w:hint="eastAsia"/>
          <w:sz w:val="24"/>
        </w:rPr>
        <w:t>&gt;0</w:t>
      </w:r>
      <w:r>
        <w:rPr>
          <w:sz w:val="24"/>
        </w:rPr>
        <w:t>.05</w:t>
      </w:r>
      <w:r>
        <w:rPr>
          <w:rFonts w:hint="eastAsia"/>
          <w:sz w:val="24"/>
        </w:rPr>
        <w:t>；</w:t>
      </w:r>
      <w:r>
        <w:rPr>
          <w:sz w:val="24"/>
        </w:rPr>
        <w:fldChar w:fldCharType="begin"/>
      </w:r>
      <w:r>
        <w:rPr>
          <w:sz w:val="24"/>
        </w:rPr>
        <w:instrText xml:space="preserve"> HYPERLINK \l "bookmark46" </w:instrText>
      </w:r>
      <w:r>
        <w:rPr>
          <w:sz w:val="24"/>
        </w:rPr>
        <w:fldChar w:fldCharType="separate"/>
      </w:r>
      <w:r>
        <w:rPr>
          <w:sz w:val="24"/>
        </w:rPr>
        <w:t>表11</w:t>
      </w:r>
      <w:r>
        <w:rPr>
          <w:sz w:val="24"/>
        </w:rPr>
        <w:fldChar w:fldCharType="end"/>
      </w:r>
      <w:r>
        <w:rPr>
          <w:rFonts w:hint="eastAsia"/>
          <w:sz w:val="24"/>
        </w:rPr>
        <w:t>）</w:t>
      </w:r>
      <w:r>
        <w:rPr>
          <w:sz w:val="24"/>
        </w:rPr>
        <w:t>。从属</w:t>
      </w:r>
      <w:r>
        <w:rPr>
          <w:rFonts w:hint="eastAsia"/>
          <w:sz w:val="24"/>
        </w:rPr>
        <w:t>水平</w:t>
      </w:r>
      <w:r>
        <w:rPr>
          <w:sz w:val="24"/>
        </w:rPr>
        <w:t xml:space="preserve">看 </w:t>
      </w:r>
      <w:r>
        <w:rPr>
          <w:rFonts w:hint="eastAsia"/>
          <w:sz w:val="24"/>
        </w:rPr>
        <w:t>，</w:t>
      </w:r>
      <w:r>
        <w:rPr>
          <w:sz w:val="24"/>
        </w:rPr>
        <w:t>CV50</w:t>
      </w:r>
      <w:r>
        <w:rPr>
          <w:rFonts w:hint="eastAsia"/>
          <w:sz w:val="24"/>
        </w:rPr>
        <w:t>处理</w:t>
      </w:r>
      <w:r>
        <w:rPr>
          <w:sz w:val="24"/>
        </w:rPr>
        <w:t>组</w:t>
      </w:r>
      <w:r>
        <w:rPr>
          <w:rFonts w:hint="eastAsia"/>
          <w:sz w:val="24"/>
        </w:rPr>
        <w:t>鱼体肠道</w:t>
      </w:r>
      <w:r>
        <w:rPr>
          <w:sz w:val="24"/>
        </w:rPr>
        <w:t>的红</w:t>
      </w:r>
      <w:r>
        <w:rPr>
          <w:rFonts w:hint="eastAsia"/>
          <w:sz w:val="24"/>
        </w:rPr>
        <w:t>细菌</w:t>
      </w:r>
      <w:r>
        <w:rPr>
          <w:sz w:val="24"/>
        </w:rPr>
        <w:t>属</w:t>
      </w:r>
      <w:r>
        <w:rPr>
          <w:rFonts w:hint="eastAsia"/>
          <w:sz w:val="24"/>
        </w:rPr>
        <w:t>（</w:t>
      </w:r>
      <w:r>
        <w:rPr>
          <w:sz w:val="24"/>
        </w:rPr>
        <w:t>Rhodobacter</w:t>
      </w:r>
      <w:r>
        <w:rPr>
          <w:rFonts w:hint="eastAsia"/>
          <w:sz w:val="24"/>
        </w:rPr>
        <w:t>）</w:t>
      </w:r>
      <w:r>
        <w:rPr>
          <w:sz w:val="24"/>
        </w:rPr>
        <w:t>、林杆菌属</w:t>
      </w:r>
      <w:r>
        <w:rPr>
          <w:rFonts w:hint="eastAsia"/>
          <w:sz w:val="24"/>
        </w:rPr>
        <w:t>（</w:t>
      </w:r>
      <w:r>
        <w:rPr>
          <w:sz w:val="24"/>
        </w:rPr>
        <w:t>Alsobacter</w:t>
      </w:r>
      <w:r>
        <w:rPr>
          <w:rFonts w:hint="eastAsia"/>
          <w:sz w:val="24"/>
        </w:rPr>
        <w:t>）</w:t>
      </w:r>
      <w:r>
        <w:rPr>
          <w:sz w:val="24"/>
        </w:rPr>
        <w:t>、ZOR0006、Enterobacteriaceae相对丰度高于其他两组</w:t>
      </w:r>
      <w:r>
        <w:rPr>
          <w:rFonts w:hint="eastAsia"/>
          <w:sz w:val="24"/>
        </w:rPr>
        <w:t>（</w:t>
      </w:r>
      <w:r>
        <w:fldChar w:fldCharType="begin"/>
      </w:r>
      <w:r>
        <w:instrText xml:space="preserve"> HYPERLINK \l "bookmark47" </w:instrText>
      </w:r>
      <w:r>
        <w:fldChar w:fldCharType="separate"/>
      </w:r>
      <w:r>
        <w:rPr>
          <w:sz w:val="24"/>
        </w:rPr>
        <w:t>图8d</w:t>
      </w:r>
      <w:r>
        <w:rPr>
          <w:sz w:val="24"/>
        </w:rPr>
        <w:fldChar w:fldCharType="end"/>
      </w:r>
      <w:r>
        <w:rPr>
          <w:rFonts w:hint="eastAsia"/>
          <w:sz w:val="24"/>
        </w:rPr>
        <w:t>）</w:t>
      </w:r>
      <w:r>
        <w:rPr>
          <w:sz w:val="24"/>
        </w:rPr>
        <w:t>。</w:t>
      </w:r>
    </w:p>
    <w:p w14:paraId="42FDF326">
      <w:pPr>
        <w:spacing w:line="360" w:lineRule="auto"/>
        <w:rPr>
          <w:sz w:val="24"/>
        </w:rPr>
      </w:pPr>
      <w:r>
        <w:drawing>
          <wp:inline distT="0" distB="0" distL="114300" distR="114300">
            <wp:extent cx="5970270" cy="1544955"/>
            <wp:effectExtent l="0" t="0" r="11430" b="4445"/>
            <wp:docPr id="7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2"/>
                    <pic:cNvPicPr>
                      <a:picLocks noChangeAspect="1"/>
                    </pic:cNvPicPr>
                  </pic:nvPicPr>
                  <pic:blipFill>
                    <a:blip r:embed="rId37"/>
                    <a:stretch>
                      <a:fillRect/>
                    </a:stretch>
                  </pic:blipFill>
                  <pic:spPr>
                    <a:xfrm>
                      <a:off x="0" y="0"/>
                      <a:ext cx="5970270" cy="1544955"/>
                    </a:xfrm>
                    <a:prstGeom prst="rect">
                      <a:avLst/>
                    </a:prstGeom>
                    <a:noFill/>
                    <a:ln>
                      <a:noFill/>
                    </a:ln>
                  </pic:spPr>
                </pic:pic>
              </a:graphicData>
            </a:graphic>
          </wp:inline>
        </w:drawing>
      </w:r>
    </w:p>
    <w:p w14:paraId="2365D45E">
      <w:pPr>
        <w:spacing w:line="360" w:lineRule="auto"/>
        <w:rPr>
          <w:sz w:val="24"/>
        </w:rPr>
      </w:pPr>
      <w:r>
        <w:rPr>
          <w:sz w:val="24"/>
        </w:rPr>
        <w:t>2.15  基于框鳞镜鲤的生长性能二次回归分析</w:t>
      </w:r>
    </w:p>
    <w:p w14:paraId="1490F2A4">
      <w:pPr>
        <w:spacing w:line="360" w:lineRule="auto"/>
        <w:ind w:firstLine="480" w:firstLineChars="200"/>
        <w:rPr>
          <w:sz w:val="24"/>
        </w:rPr>
      </w:pPr>
      <w:r>
        <w:rPr>
          <w:sz w:val="24"/>
        </w:rPr>
        <w:t>本实验基于实验鱼的生长性能进行了二次回归分析</w:t>
      </w:r>
      <w:r>
        <w:rPr>
          <w:rFonts w:hint="eastAsia"/>
          <w:sz w:val="24"/>
        </w:rPr>
        <w:t>（</w:t>
      </w:r>
      <w:r>
        <w:fldChar w:fldCharType="begin"/>
      </w:r>
      <w:r>
        <w:instrText xml:space="preserve"> HYPERLINK \l "bookmark48" </w:instrText>
      </w:r>
      <w:r>
        <w:fldChar w:fldCharType="separate"/>
      </w:r>
      <w:r>
        <w:rPr>
          <w:sz w:val="24"/>
        </w:rPr>
        <w:t>图9</w:t>
      </w:r>
      <w:r>
        <w:rPr>
          <w:sz w:val="24"/>
        </w:rPr>
        <w:fldChar w:fldCharType="end"/>
      </w:r>
      <w:r>
        <w:rPr>
          <w:rFonts w:hint="eastAsia"/>
          <w:sz w:val="24"/>
        </w:rPr>
        <w:t>）</w:t>
      </w:r>
      <w:r>
        <w:rPr>
          <w:sz w:val="24"/>
        </w:rPr>
        <w:t>。基于末重、增重率、特定生长率、饲料系数、蛋白沉积率和脂肪沉积率的分析结果</w:t>
      </w:r>
      <w:r>
        <w:rPr>
          <w:rFonts w:hint="eastAsia"/>
          <w:sz w:val="24"/>
        </w:rPr>
        <w:t>，</w:t>
      </w:r>
      <w:r>
        <w:rPr>
          <w:sz w:val="24"/>
        </w:rPr>
        <w:t>饲料中小球藻替代豆粕的最适比例分别为70.54%、59.32%、58.14%、61.90%、59.75%和60.25%。</w:t>
      </w:r>
    </w:p>
    <w:p w14:paraId="17B944EA">
      <w:pPr>
        <w:spacing w:line="360" w:lineRule="auto"/>
        <w:rPr>
          <w:sz w:val="24"/>
        </w:rPr>
      </w:pPr>
      <w:r>
        <w:drawing>
          <wp:inline distT="0" distB="0" distL="114300" distR="114300">
            <wp:extent cx="5975350" cy="3333115"/>
            <wp:effectExtent l="0" t="0" r="6350" b="6985"/>
            <wp:docPr id="7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3"/>
                    <pic:cNvPicPr>
                      <a:picLocks noChangeAspect="1"/>
                    </pic:cNvPicPr>
                  </pic:nvPicPr>
                  <pic:blipFill>
                    <a:blip r:embed="rId38"/>
                    <a:stretch>
                      <a:fillRect/>
                    </a:stretch>
                  </pic:blipFill>
                  <pic:spPr>
                    <a:xfrm>
                      <a:off x="0" y="0"/>
                      <a:ext cx="5975350" cy="3333115"/>
                    </a:xfrm>
                    <a:prstGeom prst="rect">
                      <a:avLst/>
                    </a:prstGeom>
                    <a:noFill/>
                    <a:ln>
                      <a:noFill/>
                    </a:ln>
                  </pic:spPr>
                </pic:pic>
              </a:graphicData>
            </a:graphic>
          </wp:inline>
        </w:drawing>
      </w:r>
    </w:p>
    <w:p w14:paraId="3995757D">
      <w:pPr>
        <w:spacing w:line="360" w:lineRule="auto"/>
        <w:rPr>
          <w:sz w:val="24"/>
        </w:rPr>
      </w:pPr>
      <w:r>
        <w:rPr>
          <w:sz w:val="24"/>
        </w:rPr>
        <w:t>3   讨论</w:t>
      </w:r>
    </w:p>
    <w:p w14:paraId="35C903E5">
      <w:pPr>
        <w:spacing w:line="360" w:lineRule="auto"/>
        <w:rPr>
          <w:sz w:val="24"/>
        </w:rPr>
      </w:pPr>
      <w:r>
        <w:rPr>
          <w:sz w:val="24"/>
        </w:rPr>
        <w:t>3.1  小球藻替代饲料豆粕对框鳞镜鲤生长性能的影响</w:t>
      </w:r>
    </w:p>
    <w:p w14:paraId="7BA7269A">
      <w:pPr>
        <w:spacing w:line="360" w:lineRule="auto"/>
        <w:ind w:firstLine="480" w:firstLineChars="200"/>
        <w:rPr>
          <w:sz w:val="24"/>
        </w:rPr>
      </w:pPr>
      <w:r>
        <w:rPr>
          <w:sz w:val="24"/>
        </w:rPr>
        <w:t>小球藻作为单细胞微藻</w:t>
      </w:r>
      <w:r>
        <w:rPr>
          <w:rFonts w:hint="eastAsia"/>
          <w:sz w:val="24"/>
        </w:rPr>
        <w:t>，</w:t>
      </w:r>
      <w:r>
        <w:rPr>
          <w:sz w:val="24"/>
        </w:rPr>
        <w:t>富含机体生长所需要的各种必需氨基酸、多不饱和脂肪酸</w:t>
      </w:r>
      <w:r>
        <w:rPr>
          <w:rFonts w:hint="eastAsia"/>
          <w:sz w:val="24"/>
        </w:rPr>
        <w:t>，</w:t>
      </w:r>
      <w:r>
        <w:rPr>
          <w:sz w:val="24"/>
        </w:rPr>
        <w:t>以及多种维生素和矿物质</w:t>
      </w:r>
      <w:r>
        <w:rPr>
          <w:rFonts w:hint="eastAsia"/>
          <w:sz w:val="24"/>
        </w:rPr>
        <w:t>，</w:t>
      </w:r>
      <w:r>
        <w:rPr>
          <w:sz w:val="24"/>
        </w:rPr>
        <w:t xml:space="preserve">使其在饲料中的应用前景极为广泛 </w:t>
      </w:r>
      <w:r>
        <w:rPr>
          <w:sz w:val="24"/>
          <w:vertAlign w:val="superscript"/>
        </w:rPr>
        <w:t>[</w:t>
      </w:r>
      <w:r>
        <w:fldChar w:fldCharType="begin"/>
      </w:r>
      <w:r>
        <w:instrText xml:space="preserve"> HYPERLINK \l "bookmark49" </w:instrText>
      </w:r>
      <w:r>
        <w:fldChar w:fldCharType="separate"/>
      </w:r>
      <w:r>
        <w:rPr>
          <w:sz w:val="24"/>
          <w:vertAlign w:val="superscript"/>
        </w:rPr>
        <w:t>7</w:t>
      </w:r>
      <w:r>
        <w:rPr>
          <w:sz w:val="24"/>
          <w:vertAlign w:val="superscript"/>
        </w:rPr>
        <w:fldChar w:fldCharType="end"/>
      </w:r>
      <w:r>
        <w:rPr>
          <w:sz w:val="24"/>
          <w:vertAlign w:val="superscript"/>
        </w:rPr>
        <w:t>]</w:t>
      </w:r>
      <w:r>
        <w:rPr>
          <w:sz w:val="24"/>
        </w:rPr>
        <w:t>。</w:t>
      </w:r>
      <w:r>
        <w:rPr>
          <w:rFonts w:hint="eastAsia"/>
          <w:sz w:val="24"/>
        </w:rPr>
        <w:t>研究表明，在哺乳动物中，</w:t>
      </w:r>
      <w:r>
        <w:rPr>
          <w:sz w:val="24"/>
        </w:rPr>
        <w:t>饲料中添加小球藻可促进羊</w:t>
      </w:r>
      <w:r>
        <w:fldChar w:fldCharType="begin"/>
      </w:r>
      <w:r>
        <w:instrText xml:space="preserve"> HYPERLINK \l "bookmark52" </w:instrText>
      </w:r>
      <w:r>
        <w:fldChar w:fldCharType="separate"/>
      </w:r>
      <w:r>
        <w:rPr>
          <w:sz w:val="24"/>
          <w:vertAlign w:val="superscript"/>
        </w:rPr>
        <w:t>[</w:t>
      </w:r>
      <w:r>
        <w:rPr>
          <w:sz w:val="24"/>
          <w:vertAlign w:val="superscript"/>
        </w:rPr>
        <w:fldChar w:fldCharType="end"/>
      </w:r>
      <w:r>
        <w:fldChar w:fldCharType="begin"/>
      </w:r>
      <w:r>
        <w:instrText xml:space="preserve"> HYPERLINK \l "bookmark50" </w:instrText>
      </w:r>
      <w:r>
        <w:fldChar w:fldCharType="separate"/>
      </w:r>
      <w:r>
        <w:rPr>
          <w:sz w:val="24"/>
          <w:vertAlign w:val="superscript"/>
        </w:rPr>
        <w:t>8</w:t>
      </w:r>
      <w:r>
        <w:rPr>
          <w:sz w:val="24"/>
          <w:vertAlign w:val="superscript"/>
        </w:rPr>
        <w:fldChar w:fldCharType="end"/>
      </w:r>
      <w:r>
        <w:rPr>
          <w:sz w:val="24"/>
          <w:vertAlign w:val="superscript"/>
        </w:rPr>
        <w:t>]</w:t>
      </w:r>
      <w:r>
        <w:rPr>
          <w:sz w:val="24"/>
        </w:rPr>
        <w:t>、肉鸡</w:t>
      </w:r>
      <w:r>
        <w:rPr>
          <w:sz w:val="24"/>
          <w:vertAlign w:val="superscript"/>
        </w:rPr>
        <w:t>[</w:t>
      </w:r>
      <w:r>
        <w:fldChar w:fldCharType="begin"/>
      </w:r>
      <w:r>
        <w:instrText xml:space="preserve"> HYPERLINK \l "bookmark51" </w:instrText>
      </w:r>
      <w:r>
        <w:fldChar w:fldCharType="separate"/>
      </w:r>
      <w:r>
        <w:rPr>
          <w:sz w:val="24"/>
          <w:vertAlign w:val="superscript"/>
        </w:rPr>
        <w:t>9</w:t>
      </w:r>
      <w:r>
        <w:rPr>
          <w:sz w:val="24"/>
          <w:vertAlign w:val="superscript"/>
        </w:rPr>
        <w:fldChar w:fldCharType="end"/>
      </w:r>
      <w:r>
        <w:rPr>
          <w:sz w:val="24"/>
          <w:vertAlign w:val="superscript"/>
        </w:rPr>
        <w:t>]</w:t>
      </w:r>
      <w:r>
        <w:rPr>
          <w:sz w:val="24"/>
        </w:rPr>
        <w:t>的生长。在水产动物的研究中发现</w:t>
      </w:r>
      <w:r>
        <w:rPr>
          <w:rFonts w:hint="eastAsia"/>
          <w:sz w:val="24"/>
        </w:rPr>
        <w:t>，</w:t>
      </w:r>
      <w:r>
        <w:rPr>
          <w:sz w:val="24"/>
        </w:rPr>
        <w:t>饲料中添加适量小球藻可以提高凡纳滨对虾</w:t>
      </w:r>
      <w:r>
        <w:rPr>
          <w:rFonts w:hint="eastAsia"/>
          <w:sz w:val="24"/>
        </w:rPr>
        <w:t>（</w:t>
      </w:r>
      <w:r>
        <w:rPr>
          <w:i/>
          <w:iCs/>
          <w:sz w:val="24"/>
        </w:rPr>
        <w:t>Litopenaeus vannamei</w:t>
      </w:r>
      <w:r>
        <w:rPr>
          <w:rFonts w:hint="eastAsia"/>
          <w:sz w:val="24"/>
        </w:rPr>
        <w:t>）</w:t>
      </w:r>
      <w:r>
        <w:fldChar w:fldCharType="begin"/>
      </w:r>
      <w:r>
        <w:instrText xml:space="preserve"> HYPERLINK \l "bookmark54" </w:instrText>
      </w:r>
      <w:r>
        <w:fldChar w:fldCharType="separate"/>
      </w:r>
      <w:r>
        <w:rPr>
          <w:sz w:val="24"/>
          <w:vertAlign w:val="superscript"/>
        </w:rPr>
        <w:t>[</w:t>
      </w:r>
      <w:r>
        <w:rPr>
          <w:sz w:val="24"/>
          <w:vertAlign w:val="superscript"/>
        </w:rPr>
        <w:fldChar w:fldCharType="end"/>
      </w:r>
      <w:r>
        <w:fldChar w:fldCharType="begin"/>
      </w:r>
      <w:r>
        <w:instrText xml:space="preserve"> HYPERLINK \l "bookmark53" </w:instrText>
      </w:r>
      <w:r>
        <w:fldChar w:fldCharType="separate"/>
      </w:r>
      <w:r>
        <w:rPr>
          <w:sz w:val="24"/>
          <w:vertAlign w:val="superscript"/>
        </w:rPr>
        <w:t>10</w:t>
      </w:r>
      <w:r>
        <w:rPr>
          <w:sz w:val="24"/>
          <w:vertAlign w:val="superscript"/>
        </w:rPr>
        <w:fldChar w:fldCharType="end"/>
      </w:r>
      <w:r>
        <w:rPr>
          <w:sz w:val="24"/>
          <w:vertAlign w:val="superscript"/>
        </w:rPr>
        <w:t>]</w:t>
      </w:r>
      <w:r>
        <w:rPr>
          <w:sz w:val="24"/>
        </w:rPr>
        <w:t>、尼罗罗非鱼</w:t>
      </w:r>
      <w:r>
        <w:rPr>
          <w:rFonts w:hint="eastAsia"/>
          <w:sz w:val="24"/>
        </w:rPr>
        <w:t>（</w:t>
      </w:r>
      <w:r>
        <w:rPr>
          <w:i/>
          <w:iCs/>
          <w:sz w:val="24"/>
        </w:rPr>
        <w:t>Oreochromis niloticus</w:t>
      </w:r>
      <w:r>
        <w:rPr>
          <w:rFonts w:hint="eastAsia"/>
          <w:sz w:val="24"/>
        </w:rPr>
        <w:t>）</w:t>
      </w:r>
      <w:r>
        <w:fldChar w:fldCharType="begin"/>
      </w:r>
      <w:r>
        <w:instrText xml:space="preserve"> HYPERLINK \l "bookmark56" </w:instrText>
      </w:r>
      <w:r>
        <w:fldChar w:fldCharType="separate"/>
      </w:r>
      <w:r>
        <w:rPr>
          <w:sz w:val="24"/>
          <w:vertAlign w:val="superscript"/>
        </w:rPr>
        <w:t>[</w:t>
      </w:r>
      <w:r>
        <w:rPr>
          <w:sz w:val="24"/>
          <w:vertAlign w:val="superscript"/>
        </w:rPr>
        <w:fldChar w:fldCharType="end"/>
      </w:r>
      <w:r>
        <w:fldChar w:fldCharType="begin"/>
      </w:r>
      <w:r>
        <w:instrText xml:space="preserve"> HYPERLINK \l "bookmark55" </w:instrText>
      </w:r>
      <w:r>
        <w:fldChar w:fldCharType="separate"/>
      </w:r>
      <w:r>
        <w:rPr>
          <w:sz w:val="24"/>
          <w:vertAlign w:val="superscript"/>
        </w:rPr>
        <w:t>11</w:t>
      </w:r>
      <w:r>
        <w:rPr>
          <w:sz w:val="24"/>
          <w:vertAlign w:val="superscript"/>
        </w:rPr>
        <w:fldChar w:fldCharType="end"/>
      </w:r>
      <w:r>
        <w:rPr>
          <w:sz w:val="24"/>
          <w:vertAlign w:val="superscript"/>
        </w:rPr>
        <w:t>]</w:t>
      </w:r>
      <w:r>
        <w:rPr>
          <w:sz w:val="24"/>
        </w:rPr>
        <w:t>、大口黑鲈</w:t>
      </w:r>
      <w:r>
        <w:rPr>
          <w:rFonts w:hint="eastAsia"/>
          <w:sz w:val="24"/>
        </w:rPr>
        <w:t>（</w:t>
      </w:r>
      <w:r>
        <w:rPr>
          <w:i/>
          <w:iCs/>
          <w:sz w:val="24"/>
        </w:rPr>
        <w:t>Micropterus salmoides</w:t>
      </w:r>
      <w:r>
        <w:rPr>
          <w:rFonts w:hint="eastAsia"/>
          <w:sz w:val="24"/>
        </w:rPr>
        <w:t>）</w:t>
      </w:r>
      <w:r>
        <w:fldChar w:fldCharType="begin"/>
      </w:r>
      <w:r>
        <w:instrText xml:space="preserve"> HYPERLINK \l "bookmark59" </w:instrText>
      </w:r>
      <w:r>
        <w:fldChar w:fldCharType="separate"/>
      </w:r>
      <w:r>
        <w:rPr>
          <w:sz w:val="24"/>
          <w:vertAlign w:val="superscript"/>
        </w:rPr>
        <w:t>[</w:t>
      </w:r>
      <w:r>
        <w:rPr>
          <w:sz w:val="24"/>
          <w:vertAlign w:val="superscript"/>
        </w:rPr>
        <w:fldChar w:fldCharType="end"/>
      </w:r>
      <w:r>
        <w:fldChar w:fldCharType="begin"/>
      </w:r>
      <w:r>
        <w:instrText xml:space="preserve"> HYPERLINK \l "bookmark57" </w:instrText>
      </w:r>
      <w:r>
        <w:fldChar w:fldCharType="separate"/>
      </w:r>
      <w:r>
        <w:rPr>
          <w:sz w:val="24"/>
          <w:vertAlign w:val="superscript"/>
        </w:rPr>
        <w:t>12</w:t>
      </w:r>
      <w:r>
        <w:rPr>
          <w:sz w:val="24"/>
          <w:vertAlign w:val="superscript"/>
        </w:rPr>
        <w:fldChar w:fldCharType="end"/>
      </w:r>
      <w:r>
        <w:rPr>
          <w:sz w:val="24"/>
          <w:vertAlign w:val="superscript"/>
        </w:rPr>
        <w:t>]</w:t>
      </w:r>
      <w:r>
        <w:rPr>
          <w:sz w:val="24"/>
        </w:rPr>
        <w:t>、非洲鲶</w:t>
      </w:r>
      <w:r>
        <w:rPr>
          <w:rFonts w:hint="eastAsia"/>
          <w:sz w:val="24"/>
        </w:rPr>
        <w:t>（</w:t>
      </w:r>
      <w:r>
        <w:rPr>
          <w:i/>
          <w:iCs/>
          <w:sz w:val="24"/>
        </w:rPr>
        <w:t>Clarias gariepinus</w:t>
      </w:r>
      <w:r>
        <w:rPr>
          <w:rFonts w:hint="eastAsia"/>
          <w:sz w:val="24"/>
        </w:rPr>
        <w:t>）</w:t>
      </w:r>
      <w:r>
        <w:rPr>
          <w:sz w:val="24"/>
          <w:vertAlign w:val="superscript"/>
        </w:rPr>
        <w:t>[</w:t>
      </w:r>
      <w:r>
        <w:fldChar w:fldCharType="begin"/>
      </w:r>
      <w:r>
        <w:instrText xml:space="preserve"> HYPERLINK \l "bookmark58" </w:instrText>
      </w:r>
      <w:r>
        <w:fldChar w:fldCharType="separate"/>
      </w:r>
      <w:r>
        <w:rPr>
          <w:sz w:val="24"/>
          <w:vertAlign w:val="superscript"/>
        </w:rPr>
        <w:t>13</w:t>
      </w:r>
      <w:r>
        <w:rPr>
          <w:sz w:val="24"/>
          <w:vertAlign w:val="superscript"/>
        </w:rPr>
        <w:fldChar w:fldCharType="end"/>
      </w:r>
      <w:r>
        <w:rPr>
          <w:sz w:val="24"/>
          <w:vertAlign w:val="superscript"/>
        </w:rPr>
        <w:t>]</w:t>
      </w:r>
      <w:r>
        <w:rPr>
          <w:sz w:val="24"/>
        </w:rPr>
        <w:t>的生长性能。在本研究中</w:t>
      </w:r>
      <w:r>
        <w:rPr>
          <w:rFonts w:hint="eastAsia"/>
          <w:sz w:val="24"/>
        </w:rPr>
        <w:t>，</w:t>
      </w:r>
      <w:r>
        <w:rPr>
          <w:sz w:val="24"/>
        </w:rPr>
        <w:t>框鳞镜鲤的生长</w:t>
      </w:r>
      <w:r>
        <w:rPr>
          <w:rFonts w:hint="eastAsia"/>
          <w:sz w:val="24"/>
        </w:rPr>
        <w:t>性能</w:t>
      </w:r>
      <w:r>
        <w:rPr>
          <w:sz w:val="24"/>
        </w:rPr>
        <w:t>随着小球藻替代豆粕水平的升高先增加后降低</w:t>
      </w:r>
      <w:r>
        <w:rPr>
          <w:rFonts w:hint="eastAsia"/>
          <w:sz w:val="24"/>
        </w:rPr>
        <w:t>，</w:t>
      </w:r>
      <w:r>
        <w:rPr>
          <w:sz w:val="24"/>
        </w:rPr>
        <w:t>而饲料利用率则呈</w:t>
      </w:r>
      <w:r>
        <w:rPr>
          <w:rFonts w:hint="eastAsia"/>
          <w:sz w:val="24"/>
        </w:rPr>
        <w:t>相反</w:t>
      </w:r>
      <w:r>
        <w:rPr>
          <w:sz w:val="24"/>
        </w:rPr>
        <w:t>的</w:t>
      </w:r>
      <w:r>
        <w:rPr>
          <w:rFonts w:hint="eastAsia"/>
          <w:sz w:val="24"/>
        </w:rPr>
        <w:t>趋势</w:t>
      </w:r>
      <w:r>
        <w:rPr>
          <w:sz w:val="24"/>
        </w:rPr>
        <w:t>。 这与鲫</w:t>
      </w:r>
      <w:r>
        <w:rPr>
          <w:rFonts w:hint="eastAsia"/>
          <w:sz w:val="24"/>
        </w:rPr>
        <w:t>（</w:t>
      </w:r>
      <w:r>
        <w:rPr>
          <w:i/>
          <w:iCs/>
          <w:sz w:val="24"/>
        </w:rPr>
        <w:t>Carassius auratus</w:t>
      </w:r>
      <w:r>
        <w:rPr>
          <w:rFonts w:hint="eastAsia"/>
          <w:sz w:val="24"/>
        </w:rPr>
        <w:t>）</w:t>
      </w:r>
      <w:r>
        <w:rPr>
          <w:sz w:val="24"/>
          <w:vertAlign w:val="superscript"/>
        </w:rPr>
        <w:t>[</w:t>
      </w:r>
      <w:r>
        <w:fldChar w:fldCharType="begin"/>
      </w:r>
      <w:r>
        <w:instrText xml:space="preserve"> HYPERLINK \l "bookmark60" </w:instrText>
      </w:r>
      <w:r>
        <w:fldChar w:fldCharType="separate"/>
      </w:r>
      <w:r>
        <w:rPr>
          <w:sz w:val="24"/>
          <w:vertAlign w:val="superscript"/>
        </w:rPr>
        <w:t>14</w:t>
      </w:r>
      <w:r>
        <w:rPr>
          <w:sz w:val="24"/>
          <w:vertAlign w:val="superscript"/>
        </w:rPr>
        <w:fldChar w:fldCharType="end"/>
      </w:r>
      <w:r>
        <w:rPr>
          <w:sz w:val="24"/>
          <w:vertAlign w:val="superscript"/>
        </w:rPr>
        <w:t>]</w:t>
      </w:r>
      <w:bookmarkStart w:id="40" w:name="bookmark38"/>
      <w:bookmarkEnd w:id="40"/>
      <w:bookmarkStart w:id="41" w:name="bookmark36"/>
      <w:bookmarkEnd w:id="41"/>
      <w:r>
        <w:rPr>
          <w:sz w:val="24"/>
        </w:rPr>
        <w:t>和非洲鲶</w:t>
      </w:r>
      <w:r>
        <w:rPr>
          <w:sz w:val="24"/>
          <w:vertAlign w:val="superscript"/>
        </w:rPr>
        <w:t>[</w:t>
      </w:r>
      <w:r>
        <w:fldChar w:fldCharType="begin"/>
      </w:r>
      <w:r>
        <w:instrText xml:space="preserve"> HYPERLINK \l "bookmark61" </w:instrText>
      </w:r>
      <w:r>
        <w:fldChar w:fldCharType="separate"/>
      </w:r>
      <w:r>
        <w:rPr>
          <w:sz w:val="24"/>
          <w:vertAlign w:val="superscript"/>
        </w:rPr>
        <w:t>15</w:t>
      </w:r>
      <w:r>
        <w:rPr>
          <w:sz w:val="24"/>
          <w:vertAlign w:val="superscript"/>
        </w:rPr>
        <w:fldChar w:fldCharType="end"/>
      </w:r>
      <w:r>
        <w:rPr>
          <w:sz w:val="24"/>
          <w:vertAlign w:val="superscript"/>
        </w:rPr>
        <w:t>]</w:t>
      </w:r>
      <w:r>
        <w:rPr>
          <w:sz w:val="24"/>
        </w:rPr>
        <w:t>的研究结果相似。小球藻替代50%</w:t>
      </w:r>
      <w:r>
        <w:rPr>
          <w:rFonts w:hint="eastAsia"/>
          <w:sz w:val="24"/>
        </w:rPr>
        <w:t>的豆</w:t>
      </w:r>
      <w:r>
        <w:rPr>
          <w:sz w:val="24"/>
        </w:rPr>
        <w:t>粕</w:t>
      </w:r>
      <w:r>
        <w:rPr>
          <w:rFonts w:hint="eastAsia"/>
          <w:sz w:val="24"/>
        </w:rPr>
        <w:t>，</w:t>
      </w:r>
      <w:r>
        <w:rPr>
          <w:sz w:val="24"/>
        </w:rPr>
        <w:t>框鳞镜鲤末重最高且饲料系数最低</w:t>
      </w:r>
      <w:r>
        <w:rPr>
          <w:rFonts w:hint="eastAsia"/>
          <w:sz w:val="24"/>
        </w:rPr>
        <w:t>，</w:t>
      </w:r>
      <w:r>
        <w:rPr>
          <w:sz w:val="24"/>
        </w:rPr>
        <w:t>其原因可能是小球藻作为单细胞微藻</w:t>
      </w:r>
      <w:r>
        <w:rPr>
          <w:rFonts w:hint="eastAsia"/>
          <w:sz w:val="24"/>
        </w:rPr>
        <w:t>，</w:t>
      </w:r>
      <w:r>
        <w:rPr>
          <w:sz w:val="24"/>
        </w:rPr>
        <w:t>其富含的生物活性物质</w:t>
      </w:r>
      <w:r>
        <w:rPr>
          <w:rFonts w:hint="eastAsia"/>
          <w:sz w:val="24"/>
        </w:rPr>
        <w:t>（</w:t>
      </w:r>
      <w:r>
        <w:rPr>
          <w:sz w:val="24"/>
        </w:rPr>
        <w:t>如藻多糖、类胡萝卜素、生长因子</w:t>
      </w:r>
      <w:r>
        <w:rPr>
          <w:rFonts w:hint="eastAsia"/>
          <w:sz w:val="24"/>
        </w:rPr>
        <w:t>）</w:t>
      </w:r>
      <w:r>
        <w:rPr>
          <w:sz w:val="24"/>
        </w:rPr>
        <w:t>在促进鱼体生长和增强机体健康方面发挥了积极作用</w:t>
      </w:r>
      <w:r>
        <w:fldChar w:fldCharType="begin"/>
      </w:r>
      <w:r>
        <w:instrText xml:space="preserve"> HYPERLINK \l "bookmark63" </w:instrText>
      </w:r>
      <w:r>
        <w:fldChar w:fldCharType="separate"/>
      </w:r>
      <w:r>
        <w:rPr>
          <w:sz w:val="24"/>
          <w:vertAlign w:val="superscript"/>
        </w:rPr>
        <w:t>[</w:t>
      </w:r>
      <w:r>
        <w:rPr>
          <w:sz w:val="24"/>
          <w:vertAlign w:val="superscript"/>
        </w:rPr>
        <w:fldChar w:fldCharType="end"/>
      </w:r>
      <w:r>
        <w:fldChar w:fldCharType="begin"/>
      </w:r>
      <w:r>
        <w:instrText xml:space="preserve"> HYPERLINK \l "bookmark62" </w:instrText>
      </w:r>
      <w:r>
        <w:fldChar w:fldCharType="separate"/>
      </w:r>
      <w:r>
        <w:rPr>
          <w:sz w:val="24"/>
          <w:vertAlign w:val="superscript"/>
        </w:rPr>
        <w:t>16</w:t>
      </w:r>
      <w:r>
        <w:rPr>
          <w:sz w:val="24"/>
          <w:vertAlign w:val="superscript"/>
        </w:rPr>
        <w:fldChar w:fldCharType="end"/>
      </w:r>
      <w:r>
        <w:rPr>
          <w:sz w:val="24"/>
          <w:vertAlign w:val="superscript"/>
        </w:rPr>
        <w:t>]</w:t>
      </w:r>
      <w:r>
        <w:rPr>
          <w:sz w:val="24"/>
        </w:rPr>
        <w:t>。此外</w:t>
      </w:r>
      <w:r>
        <w:rPr>
          <w:rFonts w:hint="eastAsia"/>
          <w:sz w:val="24"/>
        </w:rPr>
        <w:t>，</w:t>
      </w:r>
      <w:r>
        <w:rPr>
          <w:sz w:val="24"/>
        </w:rPr>
        <w:t>小球藻替代50%的豆粕</w:t>
      </w:r>
      <w:r>
        <w:rPr>
          <w:rFonts w:hint="eastAsia"/>
          <w:sz w:val="24"/>
        </w:rPr>
        <w:t>，</w:t>
      </w:r>
      <w:r>
        <w:rPr>
          <w:sz w:val="24"/>
        </w:rPr>
        <w:t>可能改善了饲料适口性</w:t>
      </w:r>
      <w:r>
        <w:rPr>
          <w:rFonts w:hint="eastAsia"/>
          <w:sz w:val="24"/>
        </w:rPr>
        <w:t>，</w:t>
      </w:r>
      <w:r>
        <w:rPr>
          <w:sz w:val="24"/>
        </w:rPr>
        <w:t>并显著提升框鳞镜鲤肠道消化酶活性</w:t>
      </w:r>
      <w:r>
        <w:rPr>
          <w:rFonts w:hint="eastAsia"/>
          <w:sz w:val="24"/>
        </w:rPr>
        <w:t>，</w:t>
      </w:r>
      <w:r>
        <w:rPr>
          <w:sz w:val="24"/>
        </w:rPr>
        <w:t>进而提升鱼体的消化吸收</w:t>
      </w:r>
      <w:r>
        <w:rPr>
          <w:rFonts w:hint="eastAsia"/>
          <w:sz w:val="24"/>
        </w:rPr>
        <w:t>能力，</w:t>
      </w:r>
      <w:r>
        <w:rPr>
          <w:sz w:val="24"/>
        </w:rPr>
        <w:t>这也与饲料中添加小球藻可显著提高异育银鲫</w:t>
      </w:r>
      <w:r>
        <w:rPr>
          <w:rFonts w:hint="eastAsia"/>
          <w:sz w:val="24"/>
        </w:rPr>
        <w:t>（</w:t>
      </w:r>
      <w:r>
        <w:rPr>
          <w:i/>
          <w:iCs/>
          <w:sz w:val="24"/>
        </w:rPr>
        <w:t>Carassius auratus gibelio</w:t>
      </w:r>
      <w:r>
        <w:rPr>
          <w:rFonts w:hint="eastAsia"/>
          <w:sz w:val="24"/>
        </w:rPr>
        <w:t>）</w:t>
      </w:r>
      <w:r>
        <w:rPr>
          <w:sz w:val="24"/>
        </w:rPr>
        <w:t>肠道淀粉酶、脂肪酶和蛋白酶活性的结果较相似</w:t>
      </w:r>
      <w:r>
        <w:rPr>
          <w:sz w:val="24"/>
          <w:vertAlign w:val="superscript"/>
        </w:rPr>
        <w:fldChar w:fldCharType="begin"/>
      </w:r>
      <w:r>
        <w:rPr>
          <w:sz w:val="24"/>
          <w:vertAlign w:val="superscript"/>
        </w:rPr>
        <w:instrText xml:space="preserve"> HYPERLINK \l "bookmark65"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"bookmark64" </w:instrText>
      </w:r>
      <w:r>
        <w:fldChar w:fldCharType="separate"/>
      </w:r>
      <w:r>
        <w:rPr>
          <w:sz w:val="24"/>
          <w:vertAlign w:val="superscript"/>
        </w:rPr>
        <w:t>17</w:t>
      </w:r>
      <w:r>
        <w:rPr>
          <w:sz w:val="24"/>
          <w:vertAlign w:val="superscript"/>
        </w:rPr>
        <w:fldChar w:fldCharType="end"/>
      </w:r>
      <w:r>
        <w:rPr>
          <w:sz w:val="24"/>
          <w:vertAlign w:val="superscript"/>
        </w:rPr>
        <w:t>]</w:t>
      </w:r>
      <w:r>
        <w:rPr>
          <w:sz w:val="24"/>
        </w:rPr>
        <w:t>。小球藻替代豆粕的比例超过50%</w:t>
      </w:r>
      <w:r>
        <w:rPr>
          <w:rFonts w:hint="eastAsia"/>
          <w:sz w:val="24"/>
        </w:rPr>
        <w:t>，</w:t>
      </w:r>
      <w:r>
        <w:rPr>
          <w:sz w:val="24"/>
        </w:rPr>
        <w:t>框鳞镜鲤的生长性能降低</w:t>
      </w:r>
      <w:r>
        <w:rPr>
          <w:rFonts w:hint="eastAsia"/>
          <w:sz w:val="24"/>
        </w:rPr>
        <w:t>（</w:t>
      </w:r>
      <w:r>
        <w:rPr>
          <w:sz w:val="24"/>
        </w:rPr>
        <w:t>相较于CV50处理组</w:t>
      </w:r>
      <w:r>
        <w:rPr>
          <w:rFonts w:hint="eastAsia"/>
          <w:sz w:val="24"/>
        </w:rPr>
        <w:t>），</w:t>
      </w:r>
      <w:r>
        <w:rPr>
          <w:sz w:val="24"/>
        </w:rPr>
        <w:t>这可能与小球藻细胞壁难以消化、某些限制性氨基酸缺乏、生物活性物质过量及饲料适口性降低有关</w:t>
      </w:r>
      <w:r>
        <w:rPr>
          <w:rFonts w:hint="eastAsia"/>
          <w:sz w:val="24"/>
        </w:rPr>
        <w:t>，</w:t>
      </w:r>
      <w:r>
        <w:rPr>
          <w:sz w:val="24"/>
        </w:rPr>
        <w:t>这也进一步印证了前人的研究结论</w:t>
      </w:r>
      <w:r>
        <w:rPr>
          <w:rFonts w:hint="eastAsia"/>
          <w:sz w:val="24"/>
        </w:rPr>
        <w:t>，</w:t>
      </w:r>
      <w:r>
        <w:rPr>
          <w:sz w:val="24"/>
        </w:rPr>
        <w:t>即饲料中过量的小球藻粉可对水产动物的生长性能产生负面影响</w:t>
      </w:r>
      <w:r>
        <w:fldChar w:fldCharType="begin"/>
      </w:r>
      <w:r>
        <w:instrText xml:space="preserve"> HYPERLINK \l "bookmark67" </w:instrText>
      </w:r>
      <w:r>
        <w:fldChar w:fldCharType="separate"/>
      </w:r>
      <w:r>
        <w:rPr>
          <w:sz w:val="24"/>
          <w:vertAlign w:val="superscript"/>
        </w:rPr>
        <w:t>[</w:t>
      </w:r>
      <w:r>
        <w:rPr>
          <w:sz w:val="24"/>
          <w:vertAlign w:val="superscript"/>
        </w:rPr>
        <w:fldChar w:fldCharType="end"/>
      </w:r>
      <w:r>
        <w:fldChar w:fldCharType="begin"/>
      </w:r>
      <w:r>
        <w:instrText xml:space="preserve"> HYPERLINK \l "bookmark66" </w:instrText>
      </w:r>
      <w:r>
        <w:fldChar w:fldCharType="separate"/>
      </w:r>
      <w:r>
        <w:rPr>
          <w:sz w:val="24"/>
          <w:vertAlign w:val="superscript"/>
        </w:rPr>
        <w:t>18</w:t>
      </w:r>
      <w:r>
        <w:rPr>
          <w:sz w:val="24"/>
          <w:vertAlign w:val="superscript"/>
        </w:rPr>
        <w:fldChar w:fldCharType="end"/>
      </w:r>
      <w:r>
        <w:rPr>
          <w:sz w:val="24"/>
          <w:vertAlign w:val="superscript"/>
        </w:rPr>
        <w:t>]</w:t>
      </w:r>
      <w:r>
        <w:rPr>
          <w:sz w:val="24"/>
        </w:rPr>
        <w:t>。同时</w:t>
      </w:r>
      <w:r>
        <w:rPr>
          <w:rFonts w:hint="eastAsia"/>
          <w:sz w:val="24"/>
        </w:rPr>
        <w:t>，</w:t>
      </w:r>
      <w:r>
        <w:rPr>
          <w:sz w:val="24"/>
        </w:rPr>
        <w:t>也有研究表明</w:t>
      </w:r>
      <w:r>
        <w:rPr>
          <w:rFonts w:hint="eastAsia"/>
          <w:sz w:val="24"/>
        </w:rPr>
        <w:t>，</w:t>
      </w:r>
      <w:r>
        <w:rPr>
          <w:sz w:val="24"/>
        </w:rPr>
        <w:t>小球藻作为功能性添加剂应用于水产饲料时</w:t>
      </w:r>
      <w:r>
        <w:rPr>
          <w:rFonts w:hint="eastAsia"/>
          <w:sz w:val="24"/>
        </w:rPr>
        <w:t>，</w:t>
      </w:r>
      <w:r>
        <w:rPr>
          <w:sz w:val="24"/>
        </w:rPr>
        <w:t>可在一定程度上提高水产动物的免疫力,从而</w:t>
      </w:r>
      <w:r>
        <w:rPr>
          <w:rFonts w:hint="eastAsia"/>
          <w:sz w:val="24"/>
        </w:rPr>
        <w:t>保障</w:t>
      </w:r>
      <w:r>
        <w:rPr>
          <w:sz w:val="24"/>
        </w:rPr>
        <w:t>水产动物的健康生长</w:t>
      </w:r>
      <w:r>
        <w:fldChar w:fldCharType="begin"/>
      </w:r>
      <w:r>
        <w:instrText xml:space="preserve"> HYPERLINK \l "bookmark69" </w:instrText>
      </w:r>
      <w:r>
        <w:fldChar w:fldCharType="separate"/>
      </w:r>
      <w:r>
        <w:rPr>
          <w:sz w:val="24"/>
          <w:vertAlign w:val="superscript"/>
        </w:rPr>
        <w:t>[</w:t>
      </w:r>
      <w:r>
        <w:rPr>
          <w:sz w:val="24"/>
          <w:vertAlign w:val="superscript"/>
        </w:rPr>
        <w:fldChar w:fldCharType="end"/>
      </w:r>
      <w:r>
        <w:fldChar w:fldCharType="begin"/>
      </w:r>
      <w:r>
        <w:instrText xml:space="preserve"> HYPERLINK \l "bookmark68" </w:instrText>
      </w:r>
      <w:r>
        <w:fldChar w:fldCharType="separate"/>
      </w:r>
      <w:r>
        <w:rPr>
          <w:sz w:val="24"/>
          <w:vertAlign w:val="superscript"/>
        </w:rPr>
        <w:t>19</w:t>
      </w:r>
      <w:r>
        <w:rPr>
          <w:sz w:val="24"/>
          <w:vertAlign w:val="superscript"/>
        </w:rPr>
        <w:fldChar w:fldCharType="end"/>
      </w:r>
      <w:r>
        <w:rPr>
          <w:sz w:val="24"/>
          <w:vertAlign w:val="superscript"/>
        </w:rPr>
        <w:t>]</w:t>
      </w:r>
      <w:r>
        <w:rPr>
          <w:sz w:val="24"/>
        </w:rPr>
        <w:t>。此外</w:t>
      </w:r>
      <w:r>
        <w:rPr>
          <w:rFonts w:hint="eastAsia"/>
          <w:sz w:val="24"/>
        </w:rPr>
        <w:t>，</w:t>
      </w:r>
      <w:r>
        <w:rPr>
          <w:sz w:val="24"/>
        </w:rPr>
        <w:t>在本研究中</w:t>
      </w:r>
      <w:r>
        <w:rPr>
          <w:rFonts w:hint="eastAsia"/>
          <w:sz w:val="24"/>
        </w:rPr>
        <w:t>，</w:t>
      </w:r>
      <w:r>
        <w:rPr>
          <w:sz w:val="24"/>
        </w:rPr>
        <w:t>通过对比小球藻和豆粕的氨基酸组成与含量</w:t>
      </w:r>
      <w:r>
        <w:rPr>
          <w:rFonts w:hint="eastAsia"/>
          <w:sz w:val="24"/>
        </w:rPr>
        <w:t>（</w:t>
      </w:r>
      <w:r>
        <w:fldChar w:fldCharType="begin"/>
      </w:r>
      <w:r>
        <w:instrText xml:space="preserve"> HYPERLINK \l "bookmark13" </w:instrText>
      </w:r>
      <w:r>
        <w:fldChar w:fldCharType="separate"/>
      </w:r>
      <w:r>
        <w:rPr>
          <w:sz w:val="24"/>
        </w:rPr>
        <w:t>表 2</w:t>
      </w:r>
      <w:r>
        <w:rPr>
          <w:sz w:val="24"/>
        </w:rPr>
        <w:fldChar w:fldCharType="end"/>
      </w:r>
      <w:r>
        <w:rPr>
          <w:rFonts w:hint="eastAsia"/>
          <w:sz w:val="24"/>
        </w:rPr>
        <w:t>），</w:t>
      </w:r>
      <w:r>
        <w:rPr>
          <w:sz w:val="24"/>
        </w:rPr>
        <w:t>发现小球藻中的异亮氨酸、组氨酸、谷氨酸、丝氨酸、胱氨酸和脯氨酸含量均低于豆粕</w:t>
      </w:r>
      <w:r>
        <w:rPr>
          <w:rFonts w:hint="eastAsia"/>
          <w:sz w:val="24"/>
        </w:rPr>
        <w:t>，</w:t>
      </w:r>
      <w:r>
        <w:rPr>
          <w:sz w:val="24"/>
        </w:rPr>
        <w:t>小球藻过</w:t>
      </w:r>
      <w:r>
        <w:rPr>
          <w:rFonts w:hint="eastAsia"/>
          <w:sz w:val="24"/>
        </w:rPr>
        <w:t>高水平</w:t>
      </w:r>
      <w:r>
        <w:rPr>
          <w:sz w:val="24"/>
        </w:rPr>
        <w:t>替代豆粕</w:t>
      </w:r>
      <w:r>
        <w:rPr>
          <w:rFonts w:hint="eastAsia"/>
          <w:sz w:val="24"/>
        </w:rPr>
        <w:t>，</w:t>
      </w:r>
      <w:r>
        <w:rPr>
          <w:sz w:val="24"/>
        </w:rPr>
        <w:t>可能造成饲料</w:t>
      </w:r>
      <w:r>
        <w:rPr>
          <w:rFonts w:hint="eastAsia"/>
          <w:sz w:val="24"/>
        </w:rPr>
        <w:t>中</w:t>
      </w:r>
      <w:r>
        <w:rPr>
          <w:sz w:val="24"/>
        </w:rPr>
        <w:t>以上6种氨基酸的缺乏</w:t>
      </w:r>
      <w:r>
        <w:rPr>
          <w:rFonts w:hint="eastAsia"/>
          <w:sz w:val="24"/>
        </w:rPr>
        <w:t>，</w:t>
      </w:r>
      <w:r>
        <w:rPr>
          <w:sz w:val="24"/>
        </w:rPr>
        <w:t>从而降低了框鳞镜鲤的生长性能。因此</w:t>
      </w:r>
      <w:r>
        <w:rPr>
          <w:rFonts w:hint="eastAsia"/>
          <w:sz w:val="24"/>
        </w:rPr>
        <w:t>，</w:t>
      </w:r>
      <w:r>
        <w:rPr>
          <w:sz w:val="24"/>
        </w:rPr>
        <w:t>基于前人和本研究的结果</w:t>
      </w:r>
      <w:r>
        <w:rPr>
          <w:rFonts w:hint="eastAsia"/>
          <w:sz w:val="24"/>
        </w:rPr>
        <w:t>，</w:t>
      </w:r>
      <w:r>
        <w:rPr>
          <w:sz w:val="24"/>
        </w:rPr>
        <w:t>表明小球藻粉作为替代蛋白源</w:t>
      </w:r>
      <w:r>
        <w:rPr>
          <w:rFonts w:hint="eastAsia"/>
          <w:sz w:val="24"/>
        </w:rPr>
        <w:t>，</w:t>
      </w:r>
      <w:r>
        <w:rPr>
          <w:sz w:val="24"/>
        </w:rPr>
        <w:t>存在一个最适添加水平。前人在大口黑鲈的研究中</w:t>
      </w:r>
      <w:r>
        <w:rPr>
          <w:rFonts w:hint="eastAsia"/>
          <w:sz w:val="24"/>
        </w:rPr>
        <w:t>，</w:t>
      </w:r>
      <w:r>
        <w:rPr>
          <w:sz w:val="24"/>
        </w:rPr>
        <w:t>通过鱼体末重、增重率和特定生长率指标的二次回归分析结果发现</w:t>
      </w:r>
      <w:r>
        <w:rPr>
          <w:rFonts w:hint="eastAsia"/>
          <w:sz w:val="24"/>
        </w:rPr>
        <w:t>，</w:t>
      </w:r>
      <w:r>
        <w:rPr>
          <w:sz w:val="24"/>
        </w:rPr>
        <w:t>饲料中小球藻的最适添加水平为15.03%</w:t>
      </w:r>
      <w:r>
        <w:rPr>
          <w:rFonts w:hint="eastAsia"/>
          <w:sz w:val="24"/>
        </w:rPr>
        <w:t>～</w:t>
      </w:r>
      <w:r>
        <w:rPr>
          <w:sz w:val="24"/>
        </w:rPr>
        <w:t>15.43%</w:t>
      </w:r>
      <w:r>
        <w:rPr>
          <w:sz w:val="24"/>
          <w:vertAlign w:val="superscript"/>
        </w:rPr>
        <w:t>[</w:t>
      </w:r>
      <w:r>
        <w:fldChar w:fldCharType="begin"/>
      </w:r>
      <w:r>
        <w:instrText xml:space="preserve"> HYPERLINK \l "bookmark70" </w:instrText>
      </w:r>
      <w:r>
        <w:fldChar w:fldCharType="separate"/>
      </w:r>
      <w:r>
        <w:rPr>
          <w:sz w:val="24"/>
          <w:vertAlign w:val="superscript"/>
        </w:rPr>
        <w:t>12</w:t>
      </w:r>
      <w:r>
        <w:rPr>
          <w:sz w:val="24"/>
          <w:vertAlign w:val="superscript"/>
        </w:rPr>
        <w:fldChar w:fldCharType="end"/>
      </w:r>
      <w:r>
        <w:rPr>
          <w:sz w:val="24"/>
          <w:vertAlign w:val="superscript"/>
        </w:rPr>
        <w:t>]</w:t>
      </w:r>
      <w:r>
        <w:rPr>
          <w:sz w:val="24"/>
        </w:rPr>
        <w:t>。本研究根据</w:t>
      </w:r>
      <w:r>
        <w:rPr>
          <w:rFonts w:hint="eastAsia"/>
          <w:sz w:val="24"/>
        </w:rPr>
        <w:t>框鳞镜鲤</w:t>
      </w:r>
      <w:r>
        <w:rPr>
          <w:sz w:val="24"/>
        </w:rPr>
        <w:t>的生长性能指标的二次回归分析</w:t>
      </w:r>
      <w:bookmarkStart w:id="42" w:name="bookmark47"/>
      <w:bookmarkEnd w:id="42"/>
      <w:bookmarkStart w:id="43" w:name="bookmark44"/>
      <w:bookmarkEnd w:id="43"/>
      <w:bookmarkStart w:id="44" w:name="bookmark43"/>
      <w:bookmarkEnd w:id="44"/>
      <w:bookmarkStart w:id="45" w:name="bookmark41"/>
      <w:bookmarkEnd w:id="45"/>
      <w:bookmarkStart w:id="46" w:name="bookmark45"/>
      <w:bookmarkEnd w:id="46"/>
      <w:r>
        <w:rPr>
          <w:sz w:val="24"/>
        </w:rPr>
        <w:t>结果发现</w:t>
      </w:r>
      <w:r>
        <w:rPr>
          <w:rFonts w:hint="eastAsia"/>
          <w:sz w:val="24"/>
        </w:rPr>
        <w:t>，</w:t>
      </w:r>
      <w:r>
        <w:rPr>
          <w:sz w:val="24"/>
        </w:rPr>
        <w:t>小球藻替代豆粕的最适比例为58.14%</w:t>
      </w:r>
      <w:r>
        <w:rPr>
          <w:rFonts w:hint="eastAsia"/>
          <w:sz w:val="24"/>
        </w:rPr>
        <w:t>～</w:t>
      </w:r>
      <w:r>
        <w:rPr>
          <w:sz w:val="24"/>
        </w:rPr>
        <w:t>70.54%</w:t>
      </w:r>
      <w:r>
        <w:rPr>
          <w:rFonts w:hint="eastAsia"/>
          <w:sz w:val="24"/>
        </w:rPr>
        <w:t>。</w:t>
      </w:r>
    </w:p>
    <w:p w14:paraId="5680EDE9">
      <w:pPr>
        <w:spacing w:line="360" w:lineRule="auto"/>
        <w:rPr>
          <w:sz w:val="24"/>
        </w:rPr>
      </w:pPr>
      <w:r>
        <w:rPr>
          <w:sz w:val="24"/>
        </w:rPr>
        <w:t>3.2  小球藻替代饲料豆粕对框鳞镜鲤健康状况的影响</w:t>
      </w:r>
    </w:p>
    <w:p w14:paraId="2B33E92D">
      <w:pPr>
        <w:spacing w:line="360" w:lineRule="auto"/>
        <w:ind w:firstLine="480" w:firstLineChars="200"/>
        <w:rPr>
          <w:sz w:val="24"/>
        </w:rPr>
      </w:pPr>
      <w:r>
        <w:rPr>
          <w:sz w:val="24"/>
        </w:rPr>
        <w:t>鱼类的血清生化指标被认为是评估鱼体健康状况的关键依据</w:t>
      </w:r>
      <w:r>
        <w:rPr>
          <w:rFonts w:hint="eastAsia"/>
          <w:sz w:val="24"/>
        </w:rPr>
        <w:t>，</w:t>
      </w:r>
      <w:r>
        <w:rPr>
          <w:sz w:val="24"/>
        </w:rPr>
        <w:t>能够综合反映鱼体营养代谢状况和健康状态</w:t>
      </w:r>
      <w:r>
        <w:fldChar w:fldCharType="begin"/>
      </w:r>
      <w:r>
        <w:instrText xml:space="preserve"> HYPERLINK \l "bookmark72" </w:instrText>
      </w:r>
      <w:r>
        <w:fldChar w:fldCharType="separate"/>
      </w:r>
      <w:r>
        <w:rPr>
          <w:sz w:val="24"/>
          <w:vertAlign w:val="superscript"/>
        </w:rPr>
        <w:t>[</w:t>
      </w:r>
      <w:r>
        <w:rPr>
          <w:sz w:val="24"/>
          <w:vertAlign w:val="superscript"/>
        </w:rPr>
        <w:fldChar w:fldCharType="end"/>
      </w:r>
      <w:r>
        <w:fldChar w:fldCharType="begin"/>
      </w:r>
      <w:r>
        <w:instrText xml:space="preserve"> HYPERLINK \l "bookmark71" </w:instrText>
      </w:r>
      <w:r>
        <w:fldChar w:fldCharType="separate"/>
      </w:r>
      <w:r>
        <w:rPr>
          <w:sz w:val="24"/>
          <w:vertAlign w:val="superscript"/>
        </w:rPr>
        <w:t>20</w:t>
      </w:r>
      <w:r>
        <w:rPr>
          <w:sz w:val="24"/>
          <w:vertAlign w:val="superscript"/>
        </w:rPr>
        <w:fldChar w:fldCharType="end"/>
      </w:r>
      <w:r>
        <w:rPr>
          <w:sz w:val="24"/>
          <w:vertAlign w:val="superscript"/>
        </w:rPr>
        <w:t>]</w:t>
      </w:r>
      <w:r>
        <w:rPr>
          <w:sz w:val="24"/>
        </w:rPr>
        <w:t xml:space="preserve"> 。AST和ALT是反映肝细胞受损程度的关键指标</w:t>
      </w:r>
      <w:r>
        <w:rPr>
          <w:rFonts w:hint="eastAsia"/>
          <w:sz w:val="24"/>
        </w:rPr>
        <w:t>，</w:t>
      </w:r>
      <w:r>
        <w:rPr>
          <w:sz w:val="24"/>
        </w:rPr>
        <w:t>其活性升高表明肝细胞膜通透性增加或存在坏死情况</w:t>
      </w:r>
      <w:r>
        <w:fldChar w:fldCharType="begin"/>
      </w:r>
      <w:r>
        <w:instrText xml:space="preserve"> HYPERLINK \l "bookmark74" </w:instrText>
      </w:r>
      <w:r>
        <w:fldChar w:fldCharType="separate"/>
      </w:r>
      <w:r>
        <w:rPr>
          <w:sz w:val="24"/>
          <w:vertAlign w:val="superscript"/>
        </w:rPr>
        <w:t>[</w:t>
      </w:r>
      <w:r>
        <w:rPr>
          <w:sz w:val="24"/>
          <w:vertAlign w:val="superscript"/>
        </w:rPr>
        <w:fldChar w:fldCharType="end"/>
      </w:r>
      <w:r>
        <w:fldChar w:fldCharType="begin"/>
      </w:r>
      <w:r>
        <w:instrText xml:space="preserve"> HYPERLINK \l "bookmark73" </w:instrText>
      </w:r>
      <w:r>
        <w:fldChar w:fldCharType="separate"/>
      </w:r>
      <w:r>
        <w:rPr>
          <w:sz w:val="24"/>
          <w:vertAlign w:val="superscript"/>
        </w:rPr>
        <w:t>21</w:t>
      </w:r>
      <w:r>
        <w:rPr>
          <w:sz w:val="24"/>
          <w:vertAlign w:val="superscript"/>
        </w:rPr>
        <w:fldChar w:fldCharType="end"/>
      </w:r>
      <w:r>
        <w:rPr>
          <w:sz w:val="24"/>
          <w:vertAlign w:val="superscript"/>
        </w:rPr>
        <w:t>]</w:t>
      </w:r>
      <w:r>
        <w:rPr>
          <w:sz w:val="24"/>
        </w:rPr>
        <w:t>。在本研究中</w:t>
      </w:r>
      <w:r>
        <w:rPr>
          <w:rFonts w:hint="eastAsia"/>
          <w:sz w:val="24"/>
        </w:rPr>
        <w:t>，</w:t>
      </w:r>
      <w:r>
        <w:rPr>
          <w:sz w:val="24"/>
        </w:rPr>
        <w:t>随着小球藻替代饲料豆粕水平升高</w:t>
      </w:r>
      <w:r>
        <w:rPr>
          <w:rFonts w:hint="eastAsia"/>
          <w:sz w:val="24"/>
        </w:rPr>
        <w:t>，</w:t>
      </w:r>
      <w:r>
        <w:rPr>
          <w:sz w:val="24"/>
        </w:rPr>
        <w:t>血清TP、ALT、AST和GGT含量先降低后增加</w:t>
      </w:r>
      <w:r>
        <w:rPr>
          <w:rFonts w:hint="eastAsia"/>
          <w:sz w:val="24"/>
        </w:rPr>
        <w:t>。当</w:t>
      </w:r>
      <w:r>
        <w:rPr>
          <w:sz w:val="24"/>
        </w:rPr>
        <w:t>小球藻完全替代豆粕</w:t>
      </w:r>
      <w:r>
        <w:rPr>
          <w:rFonts w:hint="eastAsia"/>
          <w:sz w:val="24"/>
        </w:rPr>
        <w:t>时，</w:t>
      </w:r>
      <w:r>
        <w:rPr>
          <w:sz w:val="24"/>
        </w:rPr>
        <w:t>ALT、GGT含量却高于对照组</w:t>
      </w:r>
      <w:r>
        <w:rPr>
          <w:rFonts w:hint="eastAsia"/>
          <w:sz w:val="24"/>
        </w:rPr>
        <w:t>，</w:t>
      </w:r>
      <w:r>
        <w:rPr>
          <w:sz w:val="24"/>
        </w:rPr>
        <w:t>从而表明小球藻过量替代豆粕</w:t>
      </w:r>
      <w:r>
        <w:rPr>
          <w:rFonts w:hint="eastAsia"/>
          <w:sz w:val="24"/>
        </w:rPr>
        <w:t>，</w:t>
      </w:r>
      <w:r>
        <w:rPr>
          <w:sz w:val="24"/>
        </w:rPr>
        <w:t>破坏了肝细胞膜的完整性</w:t>
      </w:r>
      <w:r>
        <w:rPr>
          <w:rFonts w:hint="eastAsia"/>
          <w:sz w:val="24"/>
        </w:rPr>
        <w:t>，</w:t>
      </w:r>
      <w:r>
        <w:rPr>
          <w:sz w:val="24"/>
        </w:rPr>
        <w:t>对肝细胞造成一定程度的损伤</w:t>
      </w:r>
      <w:r>
        <w:rPr>
          <w:rFonts w:hint="eastAsia"/>
          <w:sz w:val="24"/>
        </w:rPr>
        <w:t>，</w:t>
      </w:r>
      <w:r>
        <w:rPr>
          <w:sz w:val="24"/>
        </w:rPr>
        <w:t>这一结果与肝脏组织学观察结果相互印证。血清TP水平反映机体蛋白质合成与分解代谢的整体状态</w:t>
      </w:r>
      <w:r>
        <w:rPr>
          <w:sz w:val="24"/>
          <w:vertAlign w:val="superscript"/>
        </w:rPr>
        <w:fldChar w:fldCharType="begin"/>
      </w:r>
      <w:r>
        <w:rPr>
          <w:sz w:val="24"/>
          <w:vertAlign w:val="superscript"/>
        </w:rPr>
        <w:instrText xml:space="preserve"> HYPERLINK \l "bookmark76"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"bookmark75" </w:instrText>
      </w:r>
      <w:r>
        <w:fldChar w:fldCharType="separate"/>
      </w:r>
      <w:r>
        <w:rPr>
          <w:sz w:val="24"/>
          <w:vertAlign w:val="superscript"/>
        </w:rPr>
        <w:t>22</w:t>
      </w:r>
      <w:r>
        <w:rPr>
          <w:sz w:val="24"/>
          <w:vertAlign w:val="superscript"/>
        </w:rPr>
        <w:fldChar w:fldCharType="end"/>
      </w:r>
      <w:r>
        <w:rPr>
          <w:sz w:val="24"/>
          <w:vertAlign w:val="superscript"/>
        </w:rPr>
        <w:t>]</w:t>
      </w:r>
      <w:r>
        <w:rPr>
          <w:sz w:val="24"/>
        </w:rPr>
        <w:t>。当饲料蛋白供应充足</w:t>
      </w:r>
      <w:r>
        <w:rPr>
          <w:rFonts w:hint="eastAsia"/>
          <w:sz w:val="24"/>
        </w:rPr>
        <w:t>，</w:t>
      </w:r>
      <w:r>
        <w:rPr>
          <w:sz w:val="24"/>
        </w:rPr>
        <w:t>且氨基酸组成符合鱼类需求时</w:t>
      </w:r>
      <w:r>
        <w:rPr>
          <w:rFonts w:hint="eastAsia"/>
          <w:sz w:val="24"/>
        </w:rPr>
        <w:t>，</w:t>
      </w:r>
      <w:r>
        <w:rPr>
          <w:sz w:val="24"/>
        </w:rPr>
        <w:t>肠道消化吸收的氨基酸优先满足肌肉蛋白合成</w:t>
      </w:r>
      <w:r>
        <w:rPr>
          <w:rFonts w:hint="eastAsia"/>
          <w:sz w:val="24"/>
        </w:rPr>
        <w:t>，</w:t>
      </w:r>
      <w:r>
        <w:rPr>
          <w:sz w:val="24"/>
        </w:rPr>
        <w:t>而非用于合成</w:t>
      </w:r>
      <w:r>
        <w:rPr>
          <w:rFonts w:hint="eastAsia"/>
          <w:sz w:val="24"/>
        </w:rPr>
        <w:t>人血清白蛋白</w:t>
      </w:r>
      <w:r>
        <w:fldChar w:fldCharType="begin"/>
      </w:r>
      <w:r>
        <w:instrText xml:space="preserve"> HYPERLINK \l "bookmark78" </w:instrText>
      </w:r>
      <w:r>
        <w:fldChar w:fldCharType="separate"/>
      </w:r>
      <w:r>
        <w:rPr>
          <w:sz w:val="24"/>
          <w:vertAlign w:val="superscript"/>
        </w:rPr>
        <w:t>[</w:t>
      </w:r>
      <w:r>
        <w:rPr>
          <w:sz w:val="24"/>
          <w:vertAlign w:val="superscript"/>
        </w:rPr>
        <w:fldChar w:fldCharType="end"/>
      </w:r>
      <w:r>
        <w:fldChar w:fldCharType="begin"/>
      </w:r>
      <w:r>
        <w:instrText xml:space="preserve"> HYPERLINK \l "bookmark77" </w:instrText>
      </w:r>
      <w:r>
        <w:fldChar w:fldCharType="separate"/>
      </w:r>
      <w:r>
        <w:rPr>
          <w:sz w:val="24"/>
          <w:vertAlign w:val="superscript"/>
        </w:rPr>
        <w:t>23</w:t>
      </w:r>
      <w:r>
        <w:rPr>
          <w:sz w:val="24"/>
          <w:vertAlign w:val="superscript"/>
        </w:rPr>
        <w:fldChar w:fldCharType="end"/>
      </w:r>
      <w:r>
        <w:rPr>
          <w:sz w:val="24"/>
          <w:vertAlign w:val="superscript"/>
        </w:rPr>
        <w:t>]</w:t>
      </w:r>
      <w:r>
        <w:rPr>
          <w:sz w:val="24"/>
        </w:rPr>
        <w:t>。本研究发现</w:t>
      </w:r>
      <w:r>
        <w:rPr>
          <w:rFonts w:hint="eastAsia"/>
          <w:sz w:val="24"/>
        </w:rPr>
        <w:t>，</w:t>
      </w:r>
      <w:r>
        <w:rPr>
          <w:sz w:val="24"/>
        </w:rPr>
        <w:t>50%替代组鱼体血清TP含量显著低于对照组和CV100组</w:t>
      </w:r>
      <w:r>
        <w:rPr>
          <w:rFonts w:hint="eastAsia"/>
          <w:sz w:val="24"/>
        </w:rPr>
        <w:t>，</w:t>
      </w:r>
      <w:r>
        <w:rPr>
          <w:sz w:val="24"/>
        </w:rPr>
        <w:t>而肌肉粗蛋白含量与血清</w:t>
      </w:r>
      <w:r>
        <w:rPr>
          <w:rFonts w:hint="eastAsia"/>
          <w:sz w:val="24"/>
        </w:rPr>
        <w:t>TP</w:t>
      </w:r>
      <w:r>
        <w:rPr>
          <w:sz w:val="24"/>
        </w:rPr>
        <w:t>呈相反的趋势</w:t>
      </w:r>
      <w:r>
        <w:rPr>
          <w:rFonts w:hint="eastAsia"/>
          <w:sz w:val="24"/>
        </w:rPr>
        <w:t>，</w:t>
      </w:r>
      <w:r>
        <w:rPr>
          <w:sz w:val="24"/>
        </w:rPr>
        <w:t>表明小球藻替代50%豆粕</w:t>
      </w:r>
      <w:r>
        <w:rPr>
          <w:rFonts w:hint="eastAsia"/>
          <w:sz w:val="24"/>
        </w:rPr>
        <w:t>时，</w:t>
      </w:r>
      <w:r>
        <w:rPr>
          <w:sz w:val="24"/>
        </w:rPr>
        <w:t>饲料氨基酸</w:t>
      </w:r>
      <w:r>
        <w:rPr>
          <w:rFonts w:hint="eastAsia"/>
          <w:sz w:val="24"/>
        </w:rPr>
        <w:t>组成</w:t>
      </w:r>
      <w:r>
        <w:rPr>
          <w:sz w:val="24"/>
        </w:rPr>
        <w:t>最符合框鳞镜鲤的生长需求</w:t>
      </w:r>
      <w:r>
        <w:rPr>
          <w:rFonts w:hint="eastAsia"/>
          <w:sz w:val="24"/>
        </w:rPr>
        <w:t>，</w:t>
      </w:r>
      <w:r>
        <w:rPr>
          <w:sz w:val="24"/>
        </w:rPr>
        <w:t>这一结论在鱼体的生长性能上也得到验证</w:t>
      </w:r>
      <w:r>
        <w:rPr>
          <w:rFonts w:hint="eastAsia"/>
          <w:sz w:val="24"/>
        </w:rPr>
        <w:t>，</w:t>
      </w:r>
      <w:r>
        <w:rPr>
          <w:sz w:val="24"/>
        </w:rPr>
        <w:t>即CV50处理组的末重最高。血清ALB含量未受到饲料中小球藻添加水平的影响</w:t>
      </w:r>
      <w:r>
        <w:rPr>
          <w:rFonts w:hint="eastAsia"/>
          <w:sz w:val="24"/>
        </w:rPr>
        <w:t>，</w:t>
      </w:r>
      <w:r>
        <w:rPr>
          <w:sz w:val="24"/>
        </w:rPr>
        <w:t>这与小球藻替代鱼粉在珍珠龙胆石斑鱼</w:t>
      </w:r>
      <w:r>
        <w:rPr>
          <w:rFonts w:hint="eastAsia"/>
          <w:sz w:val="24"/>
        </w:rPr>
        <w:t>（Epinephelus fuscoguttatus</w:t>
      </w:r>
      <w:r>
        <w:rPr>
          <w:sz w:val="24"/>
        </w:rPr>
        <w:t xml:space="preserve"> ♀×</w:t>
      </w:r>
      <w:r>
        <w:rPr>
          <w:i/>
          <w:iCs/>
          <w:sz w:val="24"/>
        </w:rPr>
        <w:t>E. lanceolatus</w:t>
      </w:r>
      <w:r>
        <w:rPr>
          <w:sz w:val="24"/>
        </w:rPr>
        <w:t xml:space="preserve"> ♂</w:t>
      </w:r>
      <w:r>
        <w:rPr>
          <w:rFonts w:hint="eastAsia"/>
          <w:sz w:val="24"/>
        </w:rPr>
        <w:t>）</w:t>
      </w:r>
      <w:r>
        <w:rPr>
          <w:sz w:val="24"/>
        </w:rPr>
        <w:t>上的研究结果不一致</w:t>
      </w:r>
      <w:r>
        <w:rPr>
          <w:sz w:val="24"/>
          <w:vertAlign w:val="superscript"/>
        </w:rPr>
        <w:fldChar w:fldCharType="begin"/>
      </w:r>
      <w:r>
        <w:rPr>
          <w:sz w:val="24"/>
          <w:vertAlign w:val="superscript"/>
        </w:rPr>
        <w:instrText xml:space="preserve"> HYPERLINK \l "bookmark80"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"bookmark79" </w:instrText>
      </w:r>
      <w:r>
        <w:fldChar w:fldCharType="separate"/>
      </w:r>
      <w:r>
        <w:rPr>
          <w:sz w:val="24"/>
          <w:vertAlign w:val="superscript"/>
        </w:rPr>
        <w:t>24</w:t>
      </w:r>
      <w:r>
        <w:rPr>
          <w:sz w:val="24"/>
          <w:vertAlign w:val="superscript"/>
        </w:rPr>
        <w:fldChar w:fldCharType="end"/>
      </w:r>
      <w:r>
        <w:rPr>
          <w:sz w:val="24"/>
          <w:vertAlign w:val="superscript"/>
        </w:rPr>
        <w:t>]</w:t>
      </w:r>
      <w:r>
        <w:rPr>
          <w:rFonts w:hint="eastAsia"/>
          <w:sz w:val="24"/>
        </w:rPr>
        <w:t>，</w:t>
      </w:r>
      <w:r>
        <w:rPr>
          <w:sz w:val="24"/>
        </w:rPr>
        <w:t>可能归因于杂食性的框鳞镜鲤相较于肉食性的石斑鱼</w:t>
      </w:r>
      <w:r>
        <w:rPr>
          <w:rFonts w:hint="eastAsia"/>
          <w:sz w:val="24"/>
        </w:rPr>
        <w:t>，</w:t>
      </w:r>
      <w:r>
        <w:rPr>
          <w:sz w:val="24"/>
        </w:rPr>
        <w:t>其肝脏代谢途径对植物性及微生物蛋白原料具有更强的适应与耐受能力。此外</w:t>
      </w:r>
      <w:r>
        <w:rPr>
          <w:rFonts w:hint="eastAsia"/>
          <w:sz w:val="24"/>
        </w:rPr>
        <w:t>，</w:t>
      </w:r>
      <w:r>
        <w:rPr>
          <w:sz w:val="24"/>
        </w:rPr>
        <w:t>豆粕作为植物蛋白本身存在氨基酸限制</w:t>
      </w:r>
      <w:r>
        <w:rPr>
          <w:rFonts w:hint="eastAsia"/>
          <w:sz w:val="24"/>
        </w:rPr>
        <w:t>，</w:t>
      </w:r>
      <w:r>
        <w:rPr>
          <w:sz w:val="24"/>
        </w:rPr>
        <w:t>而鱼粉则是近乎完美的动物蛋白源。替代豆粕是“优化短板”</w:t>
      </w:r>
      <w:r>
        <w:rPr>
          <w:rFonts w:hint="eastAsia"/>
          <w:sz w:val="24"/>
        </w:rPr>
        <w:t>，</w:t>
      </w:r>
      <w:r>
        <w:rPr>
          <w:sz w:val="24"/>
        </w:rPr>
        <w:t>而替代鱼粉可能是“移除长板”</w:t>
      </w:r>
      <w:r>
        <w:rPr>
          <w:rFonts w:hint="eastAsia"/>
          <w:sz w:val="24"/>
        </w:rPr>
        <w:t>，</w:t>
      </w:r>
      <w:r>
        <w:rPr>
          <w:sz w:val="24"/>
        </w:rPr>
        <w:t>尤其易造成肉食性鱼类必需脂肪酸、胆固醇等关键营养素的缺乏</w:t>
      </w:r>
      <w:r>
        <w:rPr>
          <w:rFonts w:hint="eastAsia"/>
          <w:sz w:val="24"/>
        </w:rPr>
        <w:t>，</w:t>
      </w:r>
      <w:r>
        <w:rPr>
          <w:sz w:val="24"/>
        </w:rPr>
        <w:t>进而诱发肝功能障碍。</w:t>
      </w:r>
    </w:p>
    <w:p w14:paraId="01851B8C">
      <w:pPr>
        <w:spacing w:line="360" w:lineRule="auto"/>
        <w:ind w:firstLine="480" w:firstLineChars="200"/>
        <w:rPr>
          <w:sz w:val="24"/>
        </w:rPr>
      </w:pPr>
      <w:r>
        <w:rPr>
          <w:sz w:val="24"/>
        </w:rPr>
        <w:t>肝脏作为鱼类营养代谢的核心器官</w:t>
      </w:r>
      <w:r>
        <w:rPr>
          <w:rFonts w:hint="eastAsia"/>
          <w:sz w:val="24"/>
        </w:rPr>
        <w:t>，</w:t>
      </w:r>
      <w:r>
        <w:rPr>
          <w:sz w:val="24"/>
        </w:rPr>
        <w:t>其健康状况直接反映了机体的健康状况</w:t>
      </w:r>
      <w:r>
        <w:fldChar w:fldCharType="begin"/>
      </w:r>
      <w:r>
        <w:instrText xml:space="preserve"> HYPERLINK \l "bookmark82" </w:instrText>
      </w:r>
      <w:r>
        <w:fldChar w:fldCharType="separate"/>
      </w:r>
      <w:r>
        <w:rPr>
          <w:sz w:val="24"/>
          <w:vertAlign w:val="superscript"/>
        </w:rPr>
        <w:t>[</w:t>
      </w:r>
      <w:r>
        <w:rPr>
          <w:sz w:val="24"/>
          <w:vertAlign w:val="superscript"/>
        </w:rPr>
        <w:fldChar w:fldCharType="end"/>
      </w:r>
      <w:r>
        <w:fldChar w:fldCharType="begin"/>
      </w:r>
      <w:r>
        <w:instrText xml:space="preserve"> HYPERLINK \l "bookmark81" </w:instrText>
      </w:r>
      <w:r>
        <w:fldChar w:fldCharType="separate"/>
      </w:r>
      <w:r>
        <w:rPr>
          <w:sz w:val="24"/>
          <w:vertAlign w:val="superscript"/>
        </w:rPr>
        <w:t>25</w:t>
      </w:r>
      <w:r>
        <w:rPr>
          <w:sz w:val="24"/>
          <w:vertAlign w:val="superscript"/>
        </w:rPr>
        <w:fldChar w:fldCharType="end"/>
      </w:r>
      <w:r>
        <w:rPr>
          <w:sz w:val="24"/>
          <w:vertAlign w:val="superscript"/>
        </w:rPr>
        <w:t>]</w:t>
      </w:r>
      <w:r>
        <w:rPr>
          <w:sz w:val="24"/>
        </w:rPr>
        <w:t>。本研究通过病理切片发现</w:t>
      </w:r>
      <w:r>
        <w:rPr>
          <w:rFonts w:hint="eastAsia"/>
          <w:sz w:val="24"/>
        </w:rPr>
        <w:t>，</w:t>
      </w:r>
      <w:r>
        <w:rPr>
          <w:sz w:val="24"/>
        </w:rPr>
        <w:t>小球藻部分替代豆粕</w:t>
      </w:r>
      <w:r>
        <w:rPr>
          <w:rFonts w:hint="eastAsia"/>
          <w:sz w:val="24"/>
        </w:rPr>
        <w:t>，眶</w:t>
      </w:r>
      <w:r>
        <w:rPr>
          <w:sz w:val="24"/>
        </w:rPr>
        <w:t>鳞镜鲤的肝细胞排列紧密</w:t>
      </w:r>
      <w:r>
        <w:rPr>
          <w:rFonts w:hint="eastAsia"/>
          <w:sz w:val="24"/>
        </w:rPr>
        <w:t>，</w:t>
      </w:r>
      <w:r>
        <w:rPr>
          <w:sz w:val="24"/>
        </w:rPr>
        <w:t>未观察到明显的炎症细胞浸润或坏死等病理现象。饲料中的豆粕被小球藻完全替代,框鳞镜鲤肝脏组织中出现少许空泡化及细胞核迁移至细胞边缘的现象</w:t>
      </w:r>
      <w:r>
        <w:rPr>
          <w:rFonts w:hint="eastAsia"/>
          <w:sz w:val="24"/>
        </w:rPr>
        <w:t>，</w:t>
      </w:r>
      <w:r>
        <w:rPr>
          <w:sz w:val="24"/>
        </w:rPr>
        <w:t>这一结果与血清ALT、GGT指标相互印证</w:t>
      </w:r>
      <w:r>
        <w:rPr>
          <w:rFonts w:hint="eastAsia"/>
          <w:sz w:val="24"/>
        </w:rPr>
        <w:t>，</w:t>
      </w:r>
      <w:r>
        <w:rPr>
          <w:sz w:val="24"/>
        </w:rPr>
        <w:t>共同表明小球藻过量替代饲料豆粕会对框鳞镜鲤肝脏健康造成负面影响。这一结果与Shi等</w:t>
      </w:r>
      <w:r>
        <w:rPr>
          <w:sz w:val="24"/>
          <w:vertAlign w:val="superscript"/>
        </w:rPr>
        <w:fldChar w:fldCharType="begin"/>
      </w:r>
      <w:r>
        <w:rPr>
          <w:sz w:val="24"/>
          <w:vertAlign w:val="superscript"/>
        </w:rPr>
        <w:instrText xml:space="preserve"> HYPERLINK \l "bookmark84"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"bookmark83" </w:instrText>
      </w:r>
      <w:r>
        <w:fldChar w:fldCharType="separate"/>
      </w:r>
      <w:r>
        <w:rPr>
          <w:sz w:val="24"/>
          <w:vertAlign w:val="superscript"/>
        </w:rPr>
        <w:t>14</w:t>
      </w:r>
      <w:r>
        <w:rPr>
          <w:sz w:val="24"/>
          <w:vertAlign w:val="superscript"/>
        </w:rPr>
        <w:fldChar w:fldCharType="end"/>
      </w:r>
      <w:r>
        <w:rPr>
          <w:sz w:val="24"/>
          <w:vertAlign w:val="superscript"/>
        </w:rPr>
        <w:t>]</w:t>
      </w:r>
      <w:r>
        <w:rPr>
          <w:sz w:val="24"/>
        </w:rPr>
        <w:t>在鲫中的研究结论相符</w:t>
      </w:r>
      <w:r>
        <w:rPr>
          <w:rFonts w:hint="eastAsia"/>
          <w:sz w:val="24"/>
        </w:rPr>
        <w:t>，</w:t>
      </w:r>
      <w:r>
        <w:rPr>
          <w:sz w:val="24"/>
        </w:rPr>
        <w:t>即小球藻过量替代鱼粉可引发鱼体肝组织损伤。其原因可能是</w:t>
      </w:r>
      <w:r>
        <w:rPr>
          <w:rFonts w:hint="eastAsia"/>
          <w:sz w:val="24"/>
        </w:rPr>
        <w:t>在小球藻</w:t>
      </w:r>
      <w:r>
        <w:rPr>
          <w:sz w:val="24"/>
        </w:rPr>
        <w:t>部分替代豆粕时</w:t>
      </w:r>
      <w:r>
        <w:rPr>
          <w:rFonts w:hint="eastAsia"/>
          <w:sz w:val="24"/>
        </w:rPr>
        <w:t>，</w:t>
      </w:r>
      <w:r>
        <w:rPr>
          <w:sz w:val="24"/>
        </w:rPr>
        <w:t>小球藻与豆粕可能在氨基酸上实现互补</w:t>
      </w:r>
      <w:r>
        <w:rPr>
          <w:rFonts w:hint="eastAsia"/>
          <w:sz w:val="24"/>
        </w:rPr>
        <w:t>，</w:t>
      </w:r>
      <w:r>
        <w:rPr>
          <w:sz w:val="24"/>
        </w:rPr>
        <w:t>小球藻的功能性成分也处于有益范围内。然而</w:t>
      </w:r>
      <w:r>
        <w:rPr>
          <w:rFonts w:hint="eastAsia"/>
          <w:sz w:val="24"/>
        </w:rPr>
        <w:t>，</w:t>
      </w:r>
      <w:r>
        <w:rPr>
          <w:sz w:val="24"/>
        </w:rPr>
        <w:t>完全替代可能导致组织负担过载</w:t>
      </w:r>
      <w:r>
        <w:rPr>
          <w:rFonts w:hint="eastAsia"/>
          <w:sz w:val="24"/>
        </w:rPr>
        <w:t>，摄入</w:t>
      </w:r>
      <w:r>
        <w:rPr>
          <w:sz w:val="24"/>
        </w:rPr>
        <w:t>过量小球藻出现细胞壁纤维消化、肠道渗透性与内毒素负荷增加等问题</w:t>
      </w:r>
      <w:r>
        <w:rPr>
          <w:rFonts w:hint="eastAsia"/>
          <w:sz w:val="24"/>
        </w:rPr>
        <w:t>，</w:t>
      </w:r>
      <w:r>
        <w:rPr>
          <w:sz w:val="24"/>
        </w:rPr>
        <w:t>从而通过肠−肝轴诱发肝脏病变。因此</w:t>
      </w:r>
      <w:r>
        <w:rPr>
          <w:rFonts w:hint="eastAsia"/>
          <w:sz w:val="24"/>
        </w:rPr>
        <w:t>，</w:t>
      </w:r>
      <w:r>
        <w:rPr>
          <w:sz w:val="24"/>
        </w:rPr>
        <w:t>将</w:t>
      </w:r>
      <w:r>
        <w:rPr>
          <w:rFonts w:hint="eastAsia"/>
          <w:sz w:val="24"/>
        </w:rPr>
        <w:t>将小球藻</w:t>
      </w:r>
      <w:r>
        <w:rPr>
          <w:sz w:val="24"/>
        </w:rPr>
        <w:t>作为可持续蛋白源应用于水产饲料时</w:t>
      </w:r>
      <w:r>
        <w:rPr>
          <w:rFonts w:hint="eastAsia"/>
          <w:sz w:val="24"/>
        </w:rPr>
        <w:t>，</w:t>
      </w:r>
      <w:r>
        <w:rPr>
          <w:sz w:val="24"/>
        </w:rPr>
        <w:t>应遵循“部分替代”原则</w:t>
      </w:r>
      <w:r>
        <w:rPr>
          <w:rFonts w:hint="eastAsia"/>
          <w:sz w:val="24"/>
        </w:rPr>
        <w:t>，</w:t>
      </w:r>
      <w:r>
        <w:rPr>
          <w:sz w:val="24"/>
        </w:rPr>
        <w:t>将其作为营养与功能调节剂</w:t>
      </w:r>
      <w:r>
        <w:rPr>
          <w:rFonts w:hint="eastAsia"/>
          <w:sz w:val="24"/>
        </w:rPr>
        <w:t>，</w:t>
      </w:r>
      <w:r>
        <w:rPr>
          <w:sz w:val="24"/>
        </w:rPr>
        <w:t>而非单纯的基础蛋白替代物,以避免因系统失衡导致肝脏损伤。这提示</w:t>
      </w:r>
      <w:r>
        <w:rPr>
          <w:rFonts w:hint="eastAsia"/>
          <w:sz w:val="24"/>
        </w:rPr>
        <w:t>，</w:t>
      </w:r>
      <w:r>
        <w:rPr>
          <w:sz w:val="24"/>
        </w:rPr>
        <w:t>小球藻对肝脏组织的影响不仅取决于其添加水平</w:t>
      </w:r>
      <w:r>
        <w:rPr>
          <w:rFonts w:hint="eastAsia"/>
          <w:sz w:val="24"/>
        </w:rPr>
        <w:t>，</w:t>
      </w:r>
      <w:r>
        <w:rPr>
          <w:sz w:val="24"/>
        </w:rPr>
        <w:t>也与被替代原料的属性密切相关。</w:t>
      </w:r>
    </w:p>
    <w:p w14:paraId="6A7E862D">
      <w:pPr>
        <w:spacing w:line="360" w:lineRule="auto"/>
        <w:ind w:firstLine="480" w:firstLineChars="200"/>
        <w:rPr>
          <w:sz w:val="24"/>
        </w:rPr>
      </w:pPr>
      <w:r>
        <w:rPr>
          <w:sz w:val="24"/>
        </w:rPr>
        <w:t>肠道是鱼类消化吸收营养物质和抵御病原体入侵的第一道屏障</w:t>
      </w:r>
      <w:r>
        <w:rPr>
          <w:rFonts w:hint="eastAsia"/>
          <w:sz w:val="24"/>
        </w:rPr>
        <w:t>，</w:t>
      </w:r>
      <w:r>
        <w:rPr>
          <w:sz w:val="24"/>
        </w:rPr>
        <w:t>是维持肠道健康与功能的基础</w:t>
      </w:r>
      <w:r>
        <w:fldChar w:fldCharType="begin"/>
      </w:r>
      <w:r>
        <w:instrText xml:space="preserve"> HYPERLINK \l "bookmark86" </w:instrText>
      </w:r>
      <w:r>
        <w:fldChar w:fldCharType="separate"/>
      </w:r>
      <w:r>
        <w:rPr>
          <w:sz w:val="24"/>
          <w:vertAlign w:val="superscript"/>
        </w:rPr>
        <w:t>[</w:t>
      </w:r>
      <w:r>
        <w:rPr>
          <w:sz w:val="24"/>
          <w:vertAlign w:val="superscript"/>
        </w:rPr>
        <w:fldChar w:fldCharType="end"/>
      </w:r>
      <w:r>
        <w:fldChar w:fldCharType="begin"/>
      </w:r>
      <w:r>
        <w:instrText xml:space="preserve"> HYPERLINK \l "bookmark85" </w:instrText>
      </w:r>
      <w:r>
        <w:fldChar w:fldCharType="separate"/>
      </w:r>
      <w:r>
        <w:rPr>
          <w:sz w:val="24"/>
          <w:vertAlign w:val="superscript"/>
        </w:rPr>
        <w:t>26</w:t>
      </w:r>
      <w:r>
        <w:rPr>
          <w:sz w:val="24"/>
          <w:vertAlign w:val="superscript"/>
        </w:rPr>
        <w:fldChar w:fldCharType="end"/>
      </w:r>
      <w:r>
        <w:rPr>
          <w:sz w:val="24"/>
          <w:vertAlign w:val="superscript"/>
        </w:rPr>
        <w:t>]</w:t>
      </w:r>
      <w:r>
        <w:rPr>
          <w:sz w:val="24"/>
        </w:rPr>
        <w:t>。在本研究中</w:t>
      </w:r>
      <w:r>
        <w:rPr>
          <w:rFonts w:hint="eastAsia"/>
          <w:sz w:val="24"/>
        </w:rPr>
        <w:t>，</w:t>
      </w:r>
      <w:r>
        <w:rPr>
          <w:sz w:val="24"/>
        </w:rPr>
        <w:t>随着饲料中小球藻替代豆粕比例的增加</w:t>
      </w:r>
      <w:r>
        <w:rPr>
          <w:rFonts w:hint="eastAsia"/>
          <w:sz w:val="24"/>
        </w:rPr>
        <w:t>，</w:t>
      </w:r>
      <w:r>
        <w:rPr>
          <w:sz w:val="24"/>
        </w:rPr>
        <w:t>框鳞镜鲤的肠道组织形态得到了不同程度的改善。具体表现为</w:t>
      </w:r>
      <w:r>
        <w:rPr>
          <w:rFonts w:hint="eastAsia"/>
          <w:sz w:val="24"/>
        </w:rPr>
        <w:t>，</w:t>
      </w:r>
      <w:r>
        <w:rPr>
          <w:sz w:val="24"/>
        </w:rPr>
        <w:t>50%替代组的肠绒毛高度与肌层厚度均显著高于对照组</w:t>
      </w:r>
      <w:r>
        <w:rPr>
          <w:rFonts w:hint="eastAsia"/>
          <w:sz w:val="24"/>
        </w:rPr>
        <w:t>，</w:t>
      </w:r>
      <w:r>
        <w:rPr>
          <w:sz w:val="24"/>
        </w:rPr>
        <w:t>表明肠道吸收营养物质的表面积增大。这一促进作用与Li等</w:t>
      </w:r>
      <w:r>
        <w:rPr>
          <w:sz w:val="24"/>
          <w:vertAlign w:val="superscript"/>
        </w:rPr>
        <w:fldChar w:fldCharType="begin"/>
      </w:r>
      <w:r>
        <w:rPr>
          <w:sz w:val="24"/>
          <w:vertAlign w:val="superscript"/>
        </w:rPr>
        <w:instrText xml:space="preserve"> HYPERLINK \l "bookmark88"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"bookmark87" </w:instrText>
      </w:r>
      <w:r>
        <w:fldChar w:fldCharType="separate"/>
      </w:r>
      <w:r>
        <w:rPr>
          <w:sz w:val="24"/>
          <w:vertAlign w:val="superscript"/>
        </w:rPr>
        <w:t>27</w:t>
      </w:r>
      <w:r>
        <w:rPr>
          <w:sz w:val="24"/>
          <w:vertAlign w:val="superscript"/>
        </w:rPr>
        <w:fldChar w:fldCharType="end"/>
      </w:r>
      <w:r>
        <w:rPr>
          <w:sz w:val="24"/>
          <w:vertAlign w:val="superscript"/>
        </w:rPr>
        <w:t>]</w:t>
      </w:r>
      <w:r>
        <w:rPr>
          <w:sz w:val="24"/>
        </w:rPr>
        <w:t>在大口黑鲈</w:t>
      </w:r>
      <w:r>
        <w:rPr>
          <w:rFonts w:hint="eastAsia"/>
          <w:sz w:val="24"/>
        </w:rPr>
        <w:t>（</w:t>
      </w:r>
      <w:r>
        <w:rPr>
          <w:sz w:val="24"/>
        </w:rPr>
        <w:t>以鱼粉为基础料</w:t>
      </w:r>
      <w:r>
        <w:rPr>
          <w:rFonts w:hint="eastAsia"/>
          <w:sz w:val="24"/>
        </w:rPr>
        <w:t>）</w:t>
      </w:r>
      <w:r>
        <w:rPr>
          <w:sz w:val="24"/>
        </w:rPr>
        <w:t>中的发现相似</w:t>
      </w:r>
      <w:r>
        <w:rPr>
          <w:rFonts w:hint="eastAsia"/>
          <w:sz w:val="24"/>
        </w:rPr>
        <w:t>，</w:t>
      </w:r>
      <w:r>
        <w:rPr>
          <w:sz w:val="24"/>
        </w:rPr>
        <w:t>即适宜水平的微藻添加有助于维护甚至改善肠道组织结构。其可能机制在于</w:t>
      </w:r>
      <w:r>
        <w:rPr>
          <w:rFonts w:hint="eastAsia"/>
          <w:sz w:val="24"/>
        </w:rPr>
        <w:t>，</w:t>
      </w:r>
      <w:r>
        <w:rPr>
          <w:sz w:val="24"/>
        </w:rPr>
        <w:t>小球藻中富含的多糖类物质</w:t>
      </w:r>
      <w:r>
        <w:rPr>
          <w:rFonts w:hint="eastAsia"/>
          <w:sz w:val="24"/>
        </w:rPr>
        <w:t>（</w:t>
      </w:r>
      <w:r>
        <w:rPr>
          <w:sz w:val="24"/>
        </w:rPr>
        <w:t>如β-葡聚糖</w:t>
      </w:r>
      <w:r>
        <w:rPr>
          <w:rFonts w:hint="eastAsia"/>
          <w:sz w:val="24"/>
        </w:rPr>
        <w:t>）</w:t>
      </w:r>
      <w:r>
        <w:rPr>
          <w:sz w:val="24"/>
        </w:rPr>
        <w:t>可作为益生元</w:t>
      </w:r>
      <w:r>
        <w:rPr>
          <w:rFonts w:hint="eastAsia"/>
          <w:sz w:val="24"/>
        </w:rPr>
        <w:t>，</w:t>
      </w:r>
      <w:r>
        <w:rPr>
          <w:sz w:val="24"/>
        </w:rPr>
        <w:t>促进肠道有益菌群增殖</w:t>
      </w:r>
      <w:r>
        <w:rPr>
          <w:rFonts w:hint="eastAsia"/>
          <w:sz w:val="24"/>
        </w:rPr>
        <w:t>；</w:t>
      </w:r>
      <w:r>
        <w:rPr>
          <w:sz w:val="24"/>
        </w:rPr>
        <w:t>同时</w:t>
      </w:r>
      <w:r>
        <w:rPr>
          <w:rFonts w:hint="eastAsia"/>
          <w:sz w:val="24"/>
        </w:rPr>
        <w:t>，</w:t>
      </w:r>
      <w:r>
        <w:rPr>
          <w:sz w:val="24"/>
        </w:rPr>
        <w:t>其所含的抗氧化物质</w:t>
      </w:r>
      <w:r>
        <w:rPr>
          <w:rFonts w:hint="eastAsia"/>
          <w:sz w:val="24"/>
        </w:rPr>
        <w:t>（</w:t>
      </w:r>
      <w:r>
        <w:rPr>
          <w:sz w:val="24"/>
        </w:rPr>
        <w:t>如类胡萝卜素</w:t>
      </w:r>
      <w:r>
        <w:rPr>
          <w:rFonts w:hint="eastAsia"/>
          <w:sz w:val="24"/>
        </w:rPr>
        <w:t>）</w:t>
      </w:r>
      <w:r>
        <w:rPr>
          <w:sz w:val="24"/>
        </w:rPr>
        <w:t>增强了肠道抗氧化能力。尽管本研究所替代的基础原料</w:t>
      </w:r>
      <w:r>
        <w:rPr>
          <w:rFonts w:hint="eastAsia"/>
          <w:sz w:val="24"/>
        </w:rPr>
        <w:t>（</w:t>
      </w:r>
      <w:r>
        <w:rPr>
          <w:sz w:val="24"/>
        </w:rPr>
        <w:t>豆粕</w:t>
      </w:r>
      <w:r>
        <w:rPr>
          <w:rFonts w:hint="eastAsia"/>
          <w:sz w:val="24"/>
        </w:rPr>
        <w:t>）</w:t>
      </w:r>
      <w:r>
        <w:rPr>
          <w:sz w:val="24"/>
        </w:rPr>
        <w:t>与大口黑鲈研究</w:t>
      </w:r>
      <w:r>
        <w:rPr>
          <w:rFonts w:hint="eastAsia"/>
          <w:sz w:val="24"/>
        </w:rPr>
        <w:t>（</w:t>
      </w:r>
      <w:r>
        <w:rPr>
          <w:sz w:val="24"/>
        </w:rPr>
        <w:t>鱼粉</w:t>
      </w:r>
      <w:r>
        <w:rPr>
          <w:rFonts w:hint="eastAsia"/>
          <w:sz w:val="24"/>
        </w:rPr>
        <w:t>）</w:t>
      </w:r>
      <w:r>
        <w:rPr>
          <w:sz w:val="24"/>
        </w:rPr>
        <w:t>不同</w:t>
      </w:r>
      <w:r>
        <w:rPr>
          <w:rFonts w:hint="eastAsia"/>
          <w:sz w:val="24"/>
        </w:rPr>
        <w:t>，</w:t>
      </w:r>
      <w:r>
        <w:rPr>
          <w:sz w:val="24"/>
        </w:rPr>
        <w:t>但结果均表明</w:t>
      </w:r>
      <w:r>
        <w:rPr>
          <w:rFonts w:hint="eastAsia"/>
          <w:sz w:val="24"/>
        </w:rPr>
        <w:t>，</w:t>
      </w:r>
      <w:r>
        <w:rPr>
          <w:sz w:val="24"/>
        </w:rPr>
        <w:t>在合理的添加比例下</w:t>
      </w:r>
      <w:r>
        <w:rPr>
          <w:rFonts w:hint="eastAsia"/>
          <w:sz w:val="24"/>
        </w:rPr>
        <w:t>，</w:t>
      </w:r>
      <w:r>
        <w:rPr>
          <w:sz w:val="24"/>
        </w:rPr>
        <w:t>小球藻作为一种功能性蛋白源</w:t>
      </w:r>
      <w:r>
        <w:rPr>
          <w:rFonts w:hint="eastAsia"/>
          <w:sz w:val="24"/>
        </w:rPr>
        <w:t>，</w:t>
      </w:r>
      <w:r>
        <w:rPr>
          <w:sz w:val="24"/>
        </w:rPr>
        <w:t>可改善鱼类肠道的组织结构和健康状况。</w:t>
      </w:r>
    </w:p>
    <w:p w14:paraId="12EE4EA8">
      <w:pPr>
        <w:spacing w:line="360" w:lineRule="auto"/>
        <w:ind w:firstLine="480" w:firstLineChars="200"/>
        <w:rPr>
          <w:sz w:val="24"/>
        </w:rPr>
      </w:pPr>
      <w:r>
        <w:rPr>
          <w:sz w:val="24"/>
        </w:rPr>
        <w:t>抗氧化防御机制是保护机体组织与器官免受氧化损伤的关键防御机制</w:t>
      </w:r>
      <w:r>
        <w:rPr>
          <w:rFonts w:hint="eastAsia"/>
          <w:sz w:val="24"/>
        </w:rPr>
        <w:t>，</w:t>
      </w:r>
      <w:r>
        <w:rPr>
          <w:sz w:val="24"/>
        </w:rPr>
        <w:t>对于机体的健康状况至关重要</w:t>
      </w:r>
      <w:r>
        <w:fldChar w:fldCharType="begin"/>
      </w:r>
      <w:r>
        <w:instrText xml:space="preserve"> HYPERLINK \l "bookmark90" </w:instrText>
      </w:r>
      <w:r>
        <w:fldChar w:fldCharType="separate"/>
      </w:r>
      <w:r>
        <w:rPr>
          <w:sz w:val="24"/>
          <w:vertAlign w:val="superscript"/>
        </w:rPr>
        <w:t>[</w:t>
      </w:r>
      <w:r>
        <w:rPr>
          <w:sz w:val="24"/>
          <w:vertAlign w:val="superscript"/>
        </w:rPr>
        <w:fldChar w:fldCharType="end"/>
      </w:r>
      <w:r>
        <w:fldChar w:fldCharType="begin"/>
      </w:r>
      <w:r>
        <w:instrText xml:space="preserve"> HYPERLINK \l "bookmark89" </w:instrText>
      </w:r>
      <w:r>
        <w:fldChar w:fldCharType="separate"/>
      </w:r>
      <w:r>
        <w:rPr>
          <w:sz w:val="24"/>
          <w:vertAlign w:val="superscript"/>
        </w:rPr>
        <w:t>28</w:t>
      </w:r>
      <w:r>
        <w:rPr>
          <w:sz w:val="24"/>
          <w:vertAlign w:val="superscript"/>
        </w:rPr>
        <w:fldChar w:fldCharType="end"/>
      </w:r>
      <w:r>
        <w:rPr>
          <w:sz w:val="24"/>
          <w:vertAlign w:val="superscript"/>
        </w:rPr>
        <w:t>]</w:t>
      </w:r>
      <w:r>
        <w:rPr>
          <w:sz w:val="24"/>
        </w:rPr>
        <w:t>。T-AOC是反映机体总体抗氧化能力的指标</w:t>
      </w:r>
      <w:r>
        <w:rPr>
          <w:rFonts w:hint="eastAsia"/>
          <w:sz w:val="24"/>
        </w:rPr>
        <w:t>，</w:t>
      </w:r>
      <w:r>
        <w:rPr>
          <w:sz w:val="24"/>
        </w:rPr>
        <w:t>是机体酶类抗氧化系统及多种抗氧化剂共同作用的体现</w:t>
      </w:r>
      <w:r>
        <w:fldChar w:fldCharType="begin"/>
      </w:r>
      <w:r>
        <w:instrText xml:space="preserve"> HYPERLINK \l "bookmark92" </w:instrText>
      </w:r>
      <w:r>
        <w:fldChar w:fldCharType="separate"/>
      </w:r>
      <w:r>
        <w:rPr>
          <w:sz w:val="24"/>
          <w:vertAlign w:val="superscript"/>
        </w:rPr>
        <w:t>[</w:t>
      </w:r>
      <w:r>
        <w:rPr>
          <w:sz w:val="24"/>
          <w:vertAlign w:val="superscript"/>
        </w:rPr>
        <w:fldChar w:fldCharType="end"/>
      </w:r>
      <w:r>
        <w:fldChar w:fldCharType="begin"/>
      </w:r>
      <w:r>
        <w:instrText xml:space="preserve"> HYPERLINK \l "bookmark91" </w:instrText>
      </w:r>
      <w:r>
        <w:fldChar w:fldCharType="separate"/>
      </w:r>
      <w:r>
        <w:rPr>
          <w:sz w:val="24"/>
          <w:vertAlign w:val="superscript"/>
        </w:rPr>
        <w:t>29</w:t>
      </w:r>
      <w:r>
        <w:rPr>
          <w:sz w:val="24"/>
          <w:vertAlign w:val="superscript"/>
        </w:rPr>
        <w:fldChar w:fldCharType="end"/>
      </w:r>
      <w:r>
        <w:rPr>
          <w:sz w:val="24"/>
          <w:vertAlign w:val="superscript"/>
        </w:rPr>
        <w:t>]</w:t>
      </w:r>
      <w:r>
        <w:rPr>
          <w:sz w:val="24"/>
        </w:rPr>
        <w:t>。而SOD和CAT在清除机体活性氧</w:t>
      </w:r>
      <w:r>
        <w:rPr>
          <w:rFonts w:hint="eastAsia"/>
          <w:sz w:val="24"/>
        </w:rPr>
        <w:t>（</w:t>
      </w:r>
      <w:r>
        <w:rPr>
          <w:sz w:val="24"/>
        </w:rPr>
        <w:t>ROS</w:t>
      </w:r>
      <w:r>
        <w:rPr>
          <w:rFonts w:hint="eastAsia"/>
          <w:sz w:val="24"/>
        </w:rPr>
        <w:t>）</w:t>
      </w:r>
      <w:r>
        <w:rPr>
          <w:sz w:val="24"/>
        </w:rPr>
        <w:t>的过程中</w:t>
      </w:r>
      <w:r>
        <w:rPr>
          <w:rFonts w:hint="eastAsia"/>
          <w:sz w:val="24"/>
        </w:rPr>
        <w:t>发挥</w:t>
      </w:r>
      <w:r>
        <w:rPr>
          <w:sz w:val="24"/>
        </w:rPr>
        <w:t>着关键作用</w:t>
      </w:r>
      <w:r>
        <w:rPr>
          <w:rFonts w:hint="eastAsia"/>
          <w:sz w:val="24"/>
        </w:rPr>
        <w:t>，</w:t>
      </w:r>
      <w:r>
        <w:rPr>
          <w:sz w:val="24"/>
        </w:rPr>
        <w:t>SOD能够将ROS转化为H</w:t>
      </w:r>
      <w:r>
        <w:rPr>
          <w:sz w:val="24"/>
          <w:vertAlign w:val="subscript"/>
        </w:rPr>
        <w:t>2</w:t>
      </w:r>
      <w:r>
        <w:rPr>
          <w:sz w:val="24"/>
        </w:rPr>
        <w:t>O</w:t>
      </w:r>
      <w:r>
        <w:rPr>
          <w:sz w:val="24"/>
          <w:vertAlign w:val="subscript"/>
        </w:rPr>
        <w:t>2</w:t>
      </w:r>
      <w:r>
        <w:rPr>
          <w:rFonts w:hint="eastAsia"/>
          <w:sz w:val="24"/>
        </w:rPr>
        <w:t>，</w:t>
      </w:r>
      <w:r>
        <w:rPr>
          <w:sz w:val="24"/>
        </w:rPr>
        <w:t>然后再由CAT和GPX通过协同作用催化H</w:t>
      </w:r>
      <w:r>
        <w:rPr>
          <w:sz w:val="24"/>
          <w:vertAlign w:val="subscript"/>
        </w:rPr>
        <w:t>2</w:t>
      </w:r>
      <w:r>
        <w:rPr>
          <w:sz w:val="24"/>
        </w:rPr>
        <w:t>O</w:t>
      </w:r>
      <w:r>
        <w:rPr>
          <w:sz w:val="24"/>
          <w:vertAlign w:val="subscript"/>
        </w:rPr>
        <w:t>2</w:t>
      </w:r>
      <w:r>
        <w:rPr>
          <w:sz w:val="24"/>
        </w:rPr>
        <w:t>分解为H</w:t>
      </w:r>
      <w:r>
        <w:rPr>
          <w:sz w:val="24"/>
          <w:vertAlign w:val="subscript"/>
        </w:rPr>
        <w:t>2</w:t>
      </w:r>
      <w:r>
        <w:rPr>
          <w:sz w:val="24"/>
        </w:rPr>
        <w:t>O和O</w:t>
      </w:r>
      <w:r>
        <w:rPr>
          <w:sz w:val="24"/>
          <w:vertAlign w:val="subscript"/>
        </w:rPr>
        <w:t>2</w:t>
      </w:r>
      <w:r>
        <w:fldChar w:fldCharType="begin"/>
      </w:r>
      <w:r>
        <w:instrText xml:space="preserve"> HYPERLINK \l "bookmark94" </w:instrText>
      </w:r>
      <w:r>
        <w:fldChar w:fldCharType="separate"/>
      </w:r>
      <w:r>
        <w:rPr>
          <w:sz w:val="24"/>
          <w:vertAlign w:val="superscript"/>
        </w:rPr>
        <w:t>[</w:t>
      </w:r>
      <w:r>
        <w:rPr>
          <w:sz w:val="24"/>
          <w:vertAlign w:val="superscript"/>
        </w:rPr>
        <w:fldChar w:fldCharType="end"/>
      </w:r>
      <w:r>
        <w:fldChar w:fldCharType="begin"/>
      </w:r>
      <w:r>
        <w:instrText xml:space="preserve"> HYPERLINK \l "bookmark93" </w:instrText>
      </w:r>
      <w:r>
        <w:fldChar w:fldCharType="separate"/>
      </w:r>
      <w:r>
        <w:rPr>
          <w:sz w:val="24"/>
          <w:vertAlign w:val="superscript"/>
        </w:rPr>
        <w:t>30</w:t>
      </w:r>
      <w:r>
        <w:rPr>
          <w:sz w:val="24"/>
          <w:vertAlign w:val="superscript"/>
        </w:rPr>
        <w:fldChar w:fldCharType="end"/>
      </w:r>
      <w:r>
        <w:rPr>
          <w:sz w:val="24"/>
          <w:vertAlign w:val="superscript"/>
        </w:rPr>
        <w:t>]</w:t>
      </w:r>
      <w:r>
        <w:rPr>
          <w:sz w:val="24"/>
        </w:rPr>
        <w:t>。当抗氧化酶活性不足而无法代谢过多的ROS时</w:t>
      </w:r>
      <w:r>
        <w:rPr>
          <w:rFonts w:hint="eastAsia"/>
          <w:sz w:val="24"/>
        </w:rPr>
        <w:t>，</w:t>
      </w:r>
      <w:r>
        <w:rPr>
          <w:sz w:val="24"/>
        </w:rPr>
        <w:t>会诱导脂质氧化</w:t>
      </w:r>
      <w:r>
        <w:rPr>
          <w:sz w:val="24"/>
          <w:vertAlign w:val="superscript"/>
        </w:rPr>
        <w:t>[</w:t>
      </w:r>
      <w:r>
        <w:fldChar w:fldCharType="begin"/>
      </w:r>
      <w:r>
        <w:instrText xml:space="preserve"> HYPERLINK \l "bookmark95" </w:instrText>
      </w:r>
      <w:r>
        <w:fldChar w:fldCharType="separate"/>
      </w:r>
      <w:r>
        <w:rPr>
          <w:sz w:val="24"/>
          <w:vertAlign w:val="superscript"/>
        </w:rPr>
        <w:t>31</w:t>
      </w:r>
      <w:r>
        <w:rPr>
          <w:sz w:val="24"/>
          <w:vertAlign w:val="superscript"/>
        </w:rPr>
        <w:fldChar w:fldCharType="end"/>
      </w:r>
      <w:r>
        <w:rPr>
          <w:sz w:val="24"/>
          <w:vertAlign w:val="superscript"/>
        </w:rPr>
        <w:t>]</w:t>
      </w:r>
      <w:r>
        <w:rPr>
          <w:sz w:val="24"/>
        </w:rPr>
        <w:t>。而MDA含量则是反映鱼类脂质过氧化程度的关键指标</w:t>
      </w:r>
      <w:r>
        <w:rPr>
          <w:rFonts w:hint="eastAsia"/>
          <w:sz w:val="24"/>
        </w:rPr>
        <w:t>，</w:t>
      </w:r>
      <w:r>
        <w:rPr>
          <w:sz w:val="24"/>
        </w:rPr>
        <w:t>其水平的升高代表着脂质过氧化加剧</w:t>
      </w:r>
      <w:r>
        <w:fldChar w:fldCharType="begin"/>
      </w:r>
      <w:r>
        <w:instrText xml:space="preserve"> HYPERLINK \l "bookmark97" </w:instrText>
      </w:r>
      <w:r>
        <w:fldChar w:fldCharType="separate"/>
      </w:r>
      <w:r>
        <w:rPr>
          <w:sz w:val="24"/>
          <w:vertAlign w:val="superscript"/>
        </w:rPr>
        <w:t>[</w:t>
      </w:r>
      <w:r>
        <w:rPr>
          <w:sz w:val="24"/>
          <w:vertAlign w:val="superscript"/>
        </w:rPr>
        <w:fldChar w:fldCharType="end"/>
      </w:r>
      <w:r>
        <w:fldChar w:fldCharType="begin"/>
      </w:r>
      <w:r>
        <w:instrText xml:space="preserve"> HYPERLINK \l "bookmark96" </w:instrText>
      </w:r>
      <w:r>
        <w:fldChar w:fldCharType="separate"/>
      </w:r>
      <w:r>
        <w:rPr>
          <w:sz w:val="24"/>
          <w:vertAlign w:val="superscript"/>
        </w:rPr>
        <w:t>29</w:t>
      </w:r>
      <w:r>
        <w:rPr>
          <w:sz w:val="24"/>
          <w:vertAlign w:val="superscript"/>
        </w:rPr>
        <w:fldChar w:fldCharType="end"/>
      </w:r>
      <w:r>
        <w:rPr>
          <w:sz w:val="24"/>
          <w:vertAlign w:val="superscript"/>
        </w:rPr>
        <w:t>]</w:t>
      </w:r>
      <w:r>
        <w:rPr>
          <w:sz w:val="24"/>
        </w:rPr>
        <w:t>。在小球藻部分替代豆粕时</w:t>
      </w:r>
      <w:r>
        <w:rPr>
          <w:rFonts w:hint="eastAsia"/>
          <w:sz w:val="24"/>
        </w:rPr>
        <w:t>，</w:t>
      </w:r>
      <w:r>
        <w:rPr>
          <w:sz w:val="24"/>
        </w:rPr>
        <w:t>可提高肠道和肝脏T- AOC水平</w:t>
      </w:r>
      <w:r>
        <w:rPr>
          <w:rFonts w:hint="eastAsia"/>
          <w:sz w:val="24"/>
        </w:rPr>
        <w:t>，</w:t>
      </w:r>
      <w:r>
        <w:rPr>
          <w:sz w:val="24"/>
        </w:rPr>
        <w:t>以及SOD和CAT活性</w:t>
      </w:r>
      <w:r>
        <w:rPr>
          <w:rFonts w:hint="eastAsia"/>
          <w:sz w:val="24"/>
        </w:rPr>
        <w:t>，</w:t>
      </w:r>
      <w:r>
        <w:rPr>
          <w:sz w:val="24"/>
        </w:rPr>
        <w:t>而完全替代豆粕却增加了肠道和肝脏的MDA含量</w:t>
      </w:r>
      <w:r>
        <w:rPr>
          <w:rFonts w:hint="eastAsia"/>
          <w:sz w:val="24"/>
        </w:rPr>
        <w:t>，</w:t>
      </w:r>
      <w:r>
        <w:rPr>
          <w:sz w:val="24"/>
        </w:rPr>
        <w:t>表明饲料中添加适量小球藻可提高鱼体的抗氧化能力</w:t>
      </w:r>
      <w:r>
        <w:rPr>
          <w:rFonts w:hint="eastAsia"/>
          <w:sz w:val="24"/>
        </w:rPr>
        <w:t>，</w:t>
      </w:r>
      <w:r>
        <w:rPr>
          <w:sz w:val="24"/>
        </w:rPr>
        <w:t>而过量替代则会造成鱼体氧化应激。</w:t>
      </w:r>
    </w:p>
    <w:p w14:paraId="5B4C4DF5">
      <w:pPr>
        <w:spacing w:line="360" w:lineRule="auto"/>
        <w:ind w:firstLine="480" w:firstLineChars="200"/>
        <w:rPr>
          <w:sz w:val="24"/>
        </w:rPr>
      </w:pPr>
      <w:r>
        <w:rPr>
          <w:sz w:val="24"/>
        </w:rPr>
        <w:t>肾脏是鱼类排泄与调节内稳态的关键器官。本研究结果显示</w:t>
      </w:r>
      <w:r>
        <w:rPr>
          <w:rFonts w:hint="eastAsia"/>
          <w:sz w:val="24"/>
        </w:rPr>
        <w:t>，</w:t>
      </w:r>
      <w:r>
        <w:rPr>
          <w:sz w:val="24"/>
        </w:rPr>
        <w:t>小球藻部分替代豆粕</w:t>
      </w:r>
      <w:r>
        <w:rPr>
          <w:rFonts w:hint="eastAsia"/>
          <w:sz w:val="24"/>
        </w:rPr>
        <w:t>，</w:t>
      </w:r>
      <w:r>
        <w:rPr>
          <w:sz w:val="24"/>
        </w:rPr>
        <w:t>框鳞镜鲤肾脏结构正常</w:t>
      </w:r>
      <w:r>
        <w:rPr>
          <w:rFonts w:hint="eastAsia"/>
          <w:sz w:val="24"/>
        </w:rPr>
        <w:t>，</w:t>
      </w:r>
      <w:r>
        <w:rPr>
          <w:sz w:val="24"/>
        </w:rPr>
        <w:t>未发现病变。然而</w:t>
      </w:r>
      <w:r>
        <w:rPr>
          <w:rFonts w:hint="eastAsia"/>
          <w:sz w:val="24"/>
        </w:rPr>
        <w:t>，</w:t>
      </w:r>
      <w:r>
        <w:rPr>
          <w:sz w:val="24"/>
        </w:rPr>
        <w:t>完全替代豆粕,则造成肾小球肿大变形、肾小管结构紊乱及间质炎症浸润等明显病理损伤。以上结果与王扬等</w:t>
      </w:r>
      <w:r>
        <w:rPr>
          <w:sz w:val="24"/>
          <w:vertAlign w:val="superscript"/>
        </w:rPr>
        <w:t>[</w:t>
      </w:r>
      <w:r>
        <w:fldChar w:fldCharType="begin"/>
      </w:r>
      <w:r>
        <w:instrText xml:space="preserve"> HYPERLINK \l "bookmark98" </w:instrText>
      </w:r>
      <w:r>
        <w:fldChar w:fldCharType="separate"/>
      </w:r>
      <w:r>
        <w:rPr>
          <w:sz w:val="24"/>
          <w:vertAlign w:val="superscript"/>
        </w:rPr>
        <w:t>32</w:t>
      </w:r>
      <w:r>
        <w:rPr>
          <w:sz w:val="24"/>
          <w:vertAlign w:val="superscript"/>
        </w:rPr>
        <w:fldChar w:fldCharType="end"/>
      </w:r>
      <w:r>
        <w:rPr>
          <w:sz w:val="24"/>
          <w:vertAlign w:val="superscript"/>
        </w:rPr>
        <w:t>]</w:t>
      </w:r>
      <w:r>
        <w:rPr>
          <w:sz w:val="24"/>
        </w:rPr>
        <w:t>在崇仁麻鸡上得到的研究结论一致。这表明完全替代可能增加难消化物质负担</w:t>
      </w:r>
      <w:r>
        <w:rPr>
          <w:rFonts w:hint="eastAsia"/>
          <w:sz w:val="24"/>
        </w:rPr>
        <w:t>，</w:t>
      </w:r>
      <w:r>
        <w:rPr>
          <w:sz w:val="24"/>
        </w:rPr>
        <w:t>诱发代谢应激和炎症反应</w:t>
      </w:r>
      <w:r>
        <w:rPr>
          <w:rFonts w:hint="eastAsia"/>
          <w:sz w:val="24"/>
        </w:rPr>
        <w:t>，</w:t>
      </w:r>
      <w:r>
        <w:rPr>
          <w:sz w:val="24"/>
        </w:rPr>
        <w:t>最终导致作为主要排泄器官的肾脏发生结构损伤。</w:t>
      </w:r>
    </w:p>
    <w:p w14:paraId="1957A26C">
      <w:pPr>
        <w:spacing w:line="360" w:lineRule="auto"/>
        <w:rPr>
          <w:sz w:val="24"/>
        </w:rPr>
      </w:pPr>
      <w:r>
        <w:rPr>
          <w:sz w:val="24"/>
        </w:rPr>
        <w:t>3.3  小球藻替代饲料豆粕对框鳞镜鲤肌肉品质的影响</w:t>
      </w:r>
    </w:p>
    <w:p w14:paraId="51FECAB9">
      <w:pPr>
        <w:spacing w:line="360" w:lineRule="auto"/>
        <w:ind w:firstLine="480" w:firstLineChars="200"/>
        <w:rPr>
          <w:sz w:val="24"/>
        </w:rPr>
      </w:pPr>
      <w:r>
        <w:rPr>
          <w:sz w:val="24"/>
        </w:rPr>
        <w:t>鱼类肌肉品质由营养价值、色泽</w:t>
      </w:r>
      <w:r>
        <w:rPr>
          <w:rFonts w:hint="eastAsia"/>
          <w:sz w:val="24"/>
        </w:rPr>
        <w:t>（</w:t>
      </w:r>
      <w:r>
        <w:rPr>
          <w:sz w:val="24"/>
        </w:rPr>
        <w:t>肉色</w:t>
      </w:r>
      <w:r>
        <w:rPr>
          <w:rFonts w:hint="eastAsia"/>
          <w:sz w:val="24"/>
        </w:rPr>
        <w:t>）</w:t>
      </w:r>
      <w:r>
        <w:rPr>
          <w:sz w:val="24"/>
        </w:rPr>
        <w:t>、口感</w:t>
      </w:r>
      <w:r>
        <w:rPr>
          <w:rFonts w:hint="eastAsia"/>
          <w:sz w:val="24"/>
        </w:rPr>
        <w:t>（</w:t>
      </w:r>
      <w:r>
        <w:rPr>
          <w:sz w:val="24"/>
        </w:rPr>
        <w:t>质构特性</w:t>
      </w:r>
      <w:r>
        <w:rPr>
          <w:rFonts w:hint="eastAsia"/>
          <w:sz w:val="24"/>
        </w:rPr>
        <w:t>）</w:t>
      </w:r>
      <w:r>
        <w:rPr>
          <w:sz w:val="24"/>
        </w:rPr>
        <w:t>、风味等多方面因素共同决定</w:t>
      </w:r>
      <w:r>
        <w:rPr>
          <w:rFonts w:hint="eastAsia"/>
          <w:sz w:val="24"/>
        </w:rPr>
        <w:t>，</w:t>
      </w:r>
      <w:r>
        <w:rPr>
          <w:sz w:val="24"/>
        </w:rPr>
        <w:t>也是消费者的主要关注点</w:t>
      </w:r>
      <w:r>
        <w:rPr>
          <w:sz w:val="24"/>
          <w:vertAlign w:val="superscript"/>
        </w:rPr>
        <w:t>[</w:t>
      </w:r>
      <w:r>
        <w:fldChar w:fldCharType="begin"/>
      </w:r>
      <w:r>
        <w:instrText xml:space="preserve"> HYPERLINK \l "bookmark99" </w:instrText>
      </w:r>
      <w:r>
        <w:fldChar w:fldCharType="separate"/>
      </w:r>
      <w:r>
        <w:rPr>
          <w:sz w:val="24"/>
          <w:vertAlign w:val="superscript"/>
        </w:rPr>
        <w:t>33</w:t>
      </w:r>
      <w:r>
        <w:rPr>
          <w:sz w:val="24"/>
          <w:vertAlign w:val="superscript"/>
        </w:rPr>
        <w:fldChar w:fldCharType="end"/>
      </w:r>
      <w:r>
        <w:rPr>
          <w:sz w:val="24"/>
          <w:vertAlign w:val="superscript"/>
        </w:rPr>
        <w:t>]</w:t>
      </w:r>
      <w:r>
        <w:rPr>
          <w:sz w:val="24"/>
        </w:rPr>
        <w:t>。鱼肉中营养物质</w:t>
      </w:r>
      <w:r>
        <w:rPr>
          <w:rFonts w:hint="eastAsia"/>
          <w:sz w:val="24"/>
        </w:rPr>
        <w:t>（</w:t>
      </w:r>
      <w:r>
        <w:rPr>
          <w:sz w:val="24"/>
        </w:rPr>
        <w:t>粗蛋白、粗脂肪、氨基酸和脂肪酸等</w:t>
      </w:r>
      <w:r>
        <w:rPr>
          <w:rFonts w:hint="eastAsia"/>
          <w:sz w:val="24"/>
        </w:rPr>
        <w:t>）</w:t>
      </w:r>
      <w:r>
        <w:rPr>
          <w:sz w:val="24"/>
        </w:rPr>
        <w:t>的含量直接反映其营养价值</w:t>
      </w:r>
      <w:r>
        <w:rPr>
          <w:sz w:val="24"/>
          <w:vertAlign w:val="superscript"/>
        </w:rPr>
        <w:fldChar w:fldCharType="begin"/>
      </w:r>
      <w:r>
        <w:rPr>
          <w:sz w:val="24"/>
          <w:vertAlign w:val="superscript"/>
        </w:rPr>
        <w:instrText xml:space="preserve"> HYPERLINK \l "bookmark101"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"bookmark100" </w:instrText>
      </w:r>
      <w:r>
        <w:fldChar w:fldCharType="separate"/>
      </w:r>
      <w:r>
        <w:rPr>
          <w:sz w:val="24"/>
          <w:vertAlign w:val="superscript"/>
        </w:rPr>
        <w:t>33</w:t>
      </w:r>
      <w:r>
        <w:rPr>
          <w:sz w:val="24"/>
          <w:vertAlign w:val="superscript"/>
        </w:rPr>
        <w:fldChar w:fldCharType="end"/>
      </w:r>
      <w:r>
        <w:rPr>
          <w:sz w:val="24"/>
          <w:vertAlign w:val="superscript"/>
        </w:rPr>
        <w:t>]</w:t>
      </w:r>
      <w:r>
        <w:rPr>
          <w:sz w:val="24"/>
        </w:rPr>
        <w:t>。本研究发现</w:t>
      </w:r>
      <w:r>
        <w:rPr>
          <w:rFonts w:hint="eastAsia"/>
          <w:sz w:val="24"/>
        </w:rPr>
        <w:t>，</w:t>
      </w:r>
      <w:r>
        <w:rPr>
          <w:sz w:val="24"/>
        </w:rPr>
        <w:t>小球藻适量替代豆粕可显著提升全鱼和肌肉的粗蛋白和粗脂肪含量</w:t>
      </w:r>
      <w:r>
        <w:rPr>
          <w:rFonts w:hint="eastAsia"/>
          <w:sz w:val="24"/>
        </w:rPr>
        <w:t>，</w:t>
      </w:r>
      <w:r>
        <w:rPr>
          <w:sz w:val="24"/>
        </w:rPr>
        <w:t>从而提升鱼体的营养价值。正如本研究前文所述</w:t>
      </w:r>
      <w:r>
        <w:rPr>
          <w:rFonts w:hint="eastAsia"/>
          <w:sz w:val="24"/>
        </w:rPr>
        <w:t>，</w:t>
      </w:r>
      <w:r>
        <w:rPr>
          <w:sz w:val="24"/>
        </w:rPr>
        <w:t>当饲料蛋白供应充足</w:t>
      </w:r>
      <w:r>
        <w:rPr>
          <w:rFonts w:hint="eastAsia"/>
          <w:sz w:val="24"/>
        </w:rPr>
        <w:t>，</w:t>
      </w:r>
      <w:r>
        <w:rPr>
          <w:sz w:val="24"/>
        </w:rPr>
        <w:t>且氨基酸组成匹配鱼类需求时</w:t>
      </w:r>
      <w:r>
        <w:rPr>
          <w:rFonts w:hint="eastAsia"/>
          <w:sz w:val="24"/>
        </w:rPr>
        <w:t>，</w:t>
      </w:r>
      <w:r>
        <w:rPr>
          <w:sz w:val="24"/>
        </w:rPr>
        <w:t>肠道消化吸收的氨基酸会优先用于肌肉蛋白的合成,从而增加了肌肉蛋白含量</w:t>
      </w:r>
      <w:r>
        <w:rPr>
          <w:sz w:val="24"/>
          <w:vertAlign w:val="superscript"/>
        </w:rPr>
        <w:fldChar w:fldCharType="begin"/>
      </w:r>
      <w:r>
        <w:rPr>
          <w:sz w:val="24"/>
          <w:vertAlign w:val="superscript"/>
        </w:rPr>
        <w:instrText xml:space="preserve"> HYPERLINK \l "bookmark103"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"bookmark102" </w:instrText>
      </w:r>
      <w:r>
        <w:fldChar w:fldCharType="separate"/>
      </w:r>
      <w:r>
        <w:rPr>
          <w:sz w:val="24"/>
          <w:vertAlign w:val="superscript"/>
        </w:rPr>
        <w:t>23</w:t>
      </w:r>
      <w:r>
        <w:rPr>
          <w:sz w:val="24"/>
          <w:vertAlign w:val="superscript"/>
        </w:rPr>
        <w:fldChar w:fldCharType="end"/>
      </w:r>
      <w:r>
        <w:rPr>
          <w:sz w:val="24"/>
          <w:vertAlign w:val="superscript"/>
        </w:rPr>
        <w:t>]</w:t>
      </w:r>
      <w:r>
        <w:rPr>
          <w:sz w:val="24"/>
        </w:rPr>
        <w:t>。此外</w:t>
      </w:r>
      <w:r>
        <w:rPr>
          <w:rFonts w:hint="eastAsia"/>
          <w:sz w:val="24"/>
        </w:rPr>
        <w:t>，</w:t>
      </w:r>
      <w:r>
        <w:rPr>
          <w:sz w:val="24"/>
        </w:rPr>
        <w:t>小球藻替代豆粕</w:t>
      </w:r>
      <w:r>
        <w:rPr>
          <w:rFonts w:hint="eastAsia"/>
          <w:sz w:val="24"/>
        </w:rPr>
        <w:t>，</w:t>
      </w:r>
      <w:r>
        <w:rPr>
          <w:sz w:val="24"/>
        </w:rPr>
        <w:t>增加了框鳞镜鲤肌肉中的EAA和NEAA。肌肉氨基酸含量的增加</w:t>
      </w:r>
      <w:r>
        <w:rPr>
          <w:rFonts w:hint="eastAsia"/>
          <w:sz w:val="24"/>
        </w:rPr>
        <w:t>，</w:t>
      </w:r>
      <w:r>
        <w:rPr>
          <w:sz w:val="24"/>
        </w:rPr>
        <w:t>可能与小球藻的绝大多数氨基酸含量均高于豆粕有关。其次</w:t>
      </w:r>
      <w:r>
        <w:rPr>
          <w:rFonts w:hint="eastAsia"/>
          <w:sz w:val="24"/>
        </w:rPr>
        <w:t>，</w:t>
      </w:r>
      <w:r>
        <w:rPr>
          <w:sz w:val="24"/>
        </w:rPr>
        <w:t>也与小球藻所含的氨基酸易于框鳞镜鲤消化吸收有关</w:t>
      </w:r>
      <w:r>
        <w:rPr>
          <w:rFonts w:hint="eastAsia"/>
          <w:sz w:val="24"/>
        </w:rPr>
        <w:t>。</w:t>
      </w:r>
      <w:r>
        <w:rPr>
          <w:sz w:val="24"/>
        </w:rPr>
        <w:t>前人研究发现,珍珠龙胆石斑鱼对小球藻所含的各种氨基酸表观消化率在测试的7种蛋白源</w:t>
      </w:r>
      <w:r>
        <w:rPr>
          <w:rFonts w:hint="eastAsia"/>
          <w:sz w:val="24"/>
        </w:rPr>
        <w:t>（</w:t>
      </w:r>
      <w:r>
        <w:rPr>
          <w:sz w:val="24"/>
        </w:rPr>
        <w:t>黄粉虫、黑水虻、乙醇梭菌蛋白、荚膜甲基球菌蛋白、小球藻、棉籽浓缩蛋白、秘鲁鱼粉</w:t>
      </w:r>
      <w:r>
        <w:rPr>
          <w:rFonts w:hint="eastAsia"/>
          <w:sz w:val="24"/>
        </w:rPr>
        <w:t>）</w:t>
      </w:r>
      <w:r>
        <w:rPr>
          <w:sz w:val="24"/>
        </w:rPr>
        <w:t>中最佳</w:t>
      </w:r>
      <w:r>
        <w:rPr>
          <w:sz w:val="24"/>
          <w:vertAlign w:val="superscript"/>
        </w:rPr>
        <w:fldChar w:fldCharType="begin"/>
      </w:r>
      <w:r>
        <w:rPr>
          <w:sz w:val="24"/>
          <w:vertAlign w:val="superscript"/>
        </w:rPr>
        <w:instrText xml:space="preserve"> HYPERLINK \l "bookmark105"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"bookmark104" </w:instrText>
      </w:r>
      <w:r>
        <w:fldChar w:fldCharType="separate"/>
      </w:r>
      <w:r>
        <w:rPr>
          <w:sz w:val="24"/>
          <w:vertAlign w:val="superscript"/>
        </w:rPr>
        <w:t>34</w:t>
      </w:r>
      <w:r>
        <w:rPr>
          <w:sz w:val="24"/>
          <w:vertAlign w:val="superscript"/>
        </w:rPr>
        <w:fldChar w:fldCharType="end"/>
      </w:r>
      <w:r>
        <w:rPr>
          <w:sz w:val="24"/>
          <w:vertAlign w:val="superscript"/>
        </w:rPr>
        <w:t>]</w:t>
      </w:r>
      <w:r>
        <w:rPr>
          <w:sz w:val="24"/>
        </w:rPr>
        <w:t>。氨基酸含量不仅决定了肌肉的营养价值</w:t>
      </w:r>
      <w:r>
        <w:rPr>
          <w:rFonts w:hint="eastAsia"/>
          <w:sz w:val="24"/>
        </w:rPr>
        <w:t>，</w:t>
      </w:r>
      <w:r>
        <w:rPr>
          <w:sz w:val="24"/>
        </w:rPr>
        <w:t>还与肌肉的风味密切相关,尤其是谷氨酸</w:t>
      </w:r>
      <w:r>
        <w:rPr>
          <w:rFonts w:hint="eastAsia"/>
          <w:sz w:val="24"/>
        </w:rPr>
        <w:t>（</w:t>
      </w:r>
      <w:r>
        <w:rPr>
          <w:sz w:val="24"/>
        </w:rPr>
        <w:t>Glu</w:t>
      </w:r>
      <w:r>
        <w:rPr>
          <w:rFonts w:hint="eastAsia"/>
          <w:sz w:val="24"/>
        </w:rPr>
        <w:t>）</w:t>
      </w:r>
      <w:r>
        <w:rPr>
          <w:sz w:val="24"/>
        </w:rPr>
        <w:t>、天冬氨酸</w:t>
      </w:r>
      <w:r>
        <w:rPr>
          <w:rFonts w:hint="eastAsia"/>
          <w:sz w:val="24"/>
        </w:rPr>
        <w:t>（</w:t>
      </w:r>
      <w:r>
        <w:rPr>
          <w:sz w:val="24"/>
        </w:rPr>
        <w:t>Asp</w:t>
      </w:r>
      <w:r>
        <w:rPr>
          <w:rFonts w:hint="eastAsia"/>
          <w:sz w:val="24"/>
        </w:rPr>
        <w:t>）</w:t>
      </w:r>
      <w:r>
        <w:rPr>
          <w:sz w:val="24"/>
        </w:rPr>
        <w:t>、丙氨酸</w:t>
      </w:r>
      <w:r>
        <w:rPr>
          <w:rFonts w:hint="eastAsia"/>
          <w:sz w:val="24"/>
        </w:rPr>
        <w:t>（</w:t>
      </w:r>
      <w:r>
        <w:rPr>
          <w:sz w:val="24"/>
        </w:rPr>
        <w:t>Ala</w:t>
      </w:r>
      <w:r>
        <w:rPr>
          <w:rFonts w:hint="eastAsia"/>
          <w:sz w:val="24"/>
        </w:rPr>
        <w:t>）</w:t>
      </w:r>
      <w:r>
        <w:rPr>
          <w:sz w:val="24"/>
        </w:rPr>
        <w:t>和甘氨酸</w:t>
      </w:r>
      <w:r>
        <w:rPr>
          <w:rFonts w:hint="eastAsia"/>
          <w:sz w:val="24"/>
        </w:rPr>
        <w:t>（</w:t>
      </w:r>
      <w:r>
        <w:rPr>
          <w:sz w:val="24"/>
        </w:rPr>
        <w:t>Gly</w:t>
      </w:r>
      <w:r>
        <w:rPr>
          <w:rFonts w:hint="eastAsia"/>
          <w:sz w:val="24"/>
        </w:rPr>
        <w:t>）</w:t>
      </w:r>
      <w:r>
        <w:rPr>
          <w:sz w:val="24"/>
        </w:rPr>
        <w:t>等鲜味氨基酸</w:t>
      </w:r>
      <w:r>
        <w:rPr>
          <w:rFonts w:hint="eastAsia"/>
          <w:sz w:val="24"/>
        </w:rPr>
        <w:t>，</w:t>
      </w:r>
      <w:r>
        <w:rPr>
          <w:sz w:val="24"/>
        </w:rPr>
        <w:t xml:space="preserve">被视为贡献美味的关键呈味物质 </w:t>
      </w:r>
      <w:r>
        <w:fldChar w:fldCharType="begin"/>
      </w:r>
      <w:r>
        <w:instrText xml:space="preserve"> HYPERLINK \l "bookmark107" </w:instrText>
      </w:r>
      <w:r>
        <w:fldChar w:fldCharType="separate"/>
      </w:r>
      <w:r>
        <w:rPr>
          <w:sz w:val="24"/>
          <w:vertAlign w:val="superscript"/>
        </w:rPr>
        <w:t>[</w:t>
      </w:r>
      <w:r>
        <w:rPr>
          <w:sz w:val="24"/>
          <w:vertAlign w:val="superscript"/>
        </w:rPr>
        <w:fldChar w:fldCharType="end"/>
      </w:r>
      <w:r>
        <w:fldChar w:fldCharType="begin"/>
      </w:r>
      <w:r>
        <w:instrText xml:space="preserve"> HYPERLINK \l "bookmark106" </w:instrText>
      </w:r>
      <w:r>
        <w:fldChar w:fldCharType="separate"/>
      </w:r>
      <w:r>
        <w:rPr>
          <w:sz w:val="24"/>
          <w:vertAlign w:val="superscript"/>
        </w:rPr>
        <w:t>35</w:t>
      </w:r>
      <w:r>
        <w:rPr>
          <w:sz w:val="24"/>
          <w:vertAlign w:val="superscript"/>
        </w:rPr>
        <w:fldChar w:fldCharType="end"/>
      </w:r>
      <w:r>
        <w:rPr>
          <w:sz w:val="24"/>
          <w:vertAlign w:val="superscript"/>
        </w:rPr>
        <w:t>]</w:t>
      </w:r>
      <w:r>
        <w:rPr>
          <w:sz w:val="24"/>
        </w:rPr>
        <w:t>。此外</w:t>
      </w:r>
      <w:r>
        <w:rPr>
          <w:rFonts w:hint="eastAsia"/>
          <w:sz w:val="24"/>
        </w:rPr>
        <w:t>，</w:t>
      </w:r>
      <w:r>
        <w:rPr>
          <w:sz w:val="24"/>
        </w:rPr>
        <w:t>鱼肉在烹饪加热过程中</w:t>
      </w:r>
      <w:r>
        <w:rPr>
          <w:rFonts w:hint="eastAsia"/>
          <w:sz w:val="24"/>
        </w:rPr>
        <w:t>，</w:t>
      </w:r>
      <w:r>
        <w:rPr>
          <w:sz w:val="24"/>
        </w:rPr>
        <w:t>所含的氨基酸可参与美拉德反应</w:t>
      </w:r>
      <w:r>
        <w:rPr>
          <w:rFonts w:hint="eastAsia"/>
          <w:sz w:val="24"/>
        </w:rPr>
        <w:t>，</w:t>
      </w:r>
      <w:r>
        <w:rPr>
          <w:sz w:val="24"/>
        </w:rPr>
        <w:t>生成大量挥发性风味物质</w:t>
      </w:r>
      <w:r>
        <w:rPr>
          <w:rFonts w:hint="eastAsia"/>
          <w:sz w:val="24"/>
        </w:rPr>
        <w:t>，</w:t>
      </w:r>
      <w:r>
        <w:rPr>
          <w:sz w:val="24"/>
        </w:rPr>
        <w:t>为鱼肉的特征风味形成做出重要贡献</w:t>
      </w:r>
      <w:r>
        <w:fldChar w:fldCharType="begin"/>
      </w:r>
      <w:r>
        <w:instrText xml:space="preserve"> HYPERLINK \l "bookmark109" </w:instrText>
      </w:r>
      <w:r>
        <w:fldChar w:fldCharType="separate"/>
      </w:r>
      <w:r>
        <w:rPr>
          <w:sz w:val="24"/>
          <w:vertAlign w:val="superscript"/>
        </w:rPr>
        <w:t>[</w:t>
      </w:r>
      <w:r>
        <w:rPr>
          <w:sz w:val="24"/>
          <w:vertAlign w:val="superscript"/>
        </w:rPr>
        <w:fldChar w:fldCharType="end"/>
      </w:r>
      <w:r>
        <w:fldChar w:fldCharType="begin"/>
      </w:r>
      <w:r>
        <w:instrText xml:space="preserve"> HYPERLINK \l "bookmark108" </w:instrText>
      </w:r>
      <w:r>
        <w:fldChar w:fldCharType="separate"/>
      </w:r>
      <w:r>
        <w:rPr>
          <w:sz w:val="24"/>
          <w:vertAlign w:val="superscript"/>
        </w:rPr>
        <w:t>35</w:t>
      </w:r>
      <w:r>
        <w:rPr>
          <w:sz w:val="24"/>
          <w:vertAlign w:val="superscript"/>
        </w:rPr>
        <w:fldChar w:fldCharType="end"/>
      </w:r>
      <w:r>
        <w:rPr>
          <w:sz w:val="24"/>
          <w:vertAlign w:val="superscript"/>
        </w:rPr>
        <w:t>]</w:t>
      </w:r>
      <w:r>
        <w:rPr>
          <w:sz w:val="24"/>
        </w:rPr>
        <w:t>。本研究表明</w:t>
      </w:r>
      <w:r>
        <w:rPr>
          <w:rFonts w:hint="eastAsia"/>
          <w:sz w:val="24"/>
        </w:rPr>
        <w:t>，</w:t>
      </w:r>
      <w:r>
        <w:rPr>
          <w:sz w:val="24"/>
        </w:rPr>
        <w:t>小球藻替代豆粕</w:t>
      </w:r>
      <w:r>
        <w:rPr>
          <w:rFonts w:hint="eastAsia"/>
          <w:sz w:val="24"/>
        </w:rPr>
        <w:t>，</w:t>
      </w:r>
      <w:r>
        <w:rPr>
          <w:sz w:val="24"/>
        </w:rPr>
        <w:t>提高了框鳞镜鲤肌肉中游离Glu、Asp和Gly的含量</w:t>
      </w:r>
      <w:r>
        <w:rPr>
          <w:rFonts w:hint="eastAsia"/>
          <w:sz w:val="24"/>
        </w:rPr>
        <w:t>，</w:t>
      </w:r>
      <w:r>
        <w:rPr>
          <w:sz w:val="24"/>
        </w:rPr>
        <w:t>表明小球藻替代豆粕可通过改变肌肉氨基酸组成</w:t>
      </w:r>
      <w:r>
        <w:rPr>
          <w:rFonts w:hint="eastAsia"/>
          <w:sz w:val="24"/>
        </w:rPr>
        <w:t>，</w:t>
      </w:r>
      <w:r>
        <w:rPr>
          <w:sz w:val="24"/>
        </w:rPr>
        <w:t>从而提升肌肉的风味。肌肉中的脂肪酸组成和含量也是衡量其营养价值和风味的关键指标</w:t>
      </w:r>
      <w:r>
        <w:rPr>
          <w:rFonts w:hint="eastAsia"/>
          <w:sz w:val="24"/>
        </w:rPr>
        <w:t>，</w:t>
      </w:r>
      <w:r>
        <w:rPr>
          <w:sz w:val="24"/>
        </w:rPr>
        <w:t>特别是PUFA</w:t>
      </w:r>
      <w:r>
        <w:rPr>
          <w:rFonts w:hint="eastAsia"/>
          <w:sz w:val="24"/>
        </w:rPr>
        <w:t>，</w:t>
      </w:r>
      <w:r>
        <w:rPr>
          <w:sz w:val="24"/>
        </w:rPr>
        <w:t>其不仅是人体所需的重要营养物质</w:t>
      </w:r>
      <w:r>
        <w:rPr>
          <w:rFonts w:hint="eastAsia"/>
          <w:sz w:val="24"/>
        </w:rPr>
        <w:t>，</w:t>
      </w:r>
      <w:r>
        <w:rPr>
          <w:sz w:val="24"/>
        </w:rPr>
        <w:t>也是肌肉风味产生的关键前体物质</w:t>
      </w:r>
      <w:r>
        <w:fldChar w:fldCharType="begin"/>
      </w:r>
      <w:r>
        <w:instrText xml:space="preserve"> HYPERLINK \l "bookmark111" </w:instrText>
      </w:r>
      <w:r>
        <w:fldChar w:fldCharType="separate"/>
      </w:r>
      <w:r>
        <w:rPr>
          <w:sz w:val="24"/>
          <w:vertAlign w:val="superscript"/>
        </w:rPr>
        <w:t>[</w:t>
      </w:r>
      <w:r>
        <w:rPr>
          <w:sz w:val="24"/>
          <w:vertAlign w:val="superscript"/>
        </w:rPr>
        <w:fldChar w:fldCharType="end"/>
      </w:r>
      <w:r>
        <w:fldChar w:fldCharType="begin"/>
      </w:r>
      <w:r>
        <w:instrText xml:space="preserve"> HYPERLINK \l "bookmark110" </w:instrText>
      </w:r>
      <w:r>
        <w:fldChar w:fldCharType="separate"/>
      </w:r>
      <w:r>
        <w:rPr>
          <w:sz w:val="24"/>
          <w:vertAlign w:val="superscript"/>
        </w:rPr>
        <w:t>36</w:t>
      </w:r>
      <w:r>
        <w:rPr>
          <w:sz w:val="24"/>
          <w:vertAlign w:val="superscript"/>
        </w:rPr>
        <w:fldChar w:fldCharType="end"/>
      </w:r>
      <w:r>
        <w:rPr>
          <w:sz w:val="24"/>
          <w:vertAlign w:val="superscript"/>
        </w:rPr>
        <w:t>]</w:t>
      </w:r>
      <w:r>
        <w:rPr>
          <w:sz w:val="24"/>
        </w:rPr>
        <w:t>。此外</w:t>
      </w:r>
      <w:r>
        <w:rPr>
          <w:rFonts w:hint="eastAsia"/>
          <w:sz w:val="24"/>
        </w:rPr>
        <w:t>，</w:t>
      </w:r>
      <w:r>
        <w:rPr>
          <w:sz w:val="24"/>
        </w:rPr>
        <w:t>n-3 PUFA水平的提高可以增强机体的抗炎能力</w:t>
      </w:r>
      <w:r>
        <w:rPr>
          <w:sz w:val="24"/>
          <w:vertAlign w:val="superscript"/>
        </w:rPr>
        <w:fldChar w:fldCharType="begin"/>
      </w:r>
      <w:r>
        <w:rPr>
          <w:sz w:val="24"/>
          <w:vertAlign w:val="superscript"/>
        </w:rPr>
        <w:instrText xml:space="preserve"> HYPERLINK \l "bookmark113"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"bookmark112" </w:instrText>
      </w:r>
      <w:r>
        <w:fldChar w:fldCharType="separate"/>
      </w:r>
      <w:r>
        <w:rPr>
          <w:sz w:val="24"/>
          <w:vertAlign w:val="superscript"/>
        </w:rPr>
        <w:t>33</w:t>
      </w:r>
      <w:r>
        <w:rPr>
          <w:sz w:val="24"/>
          <w:vertAlign w:val="superscript"/>
        </w:rPr>
        <w:fldChar w:fldCharType="end"/>
      </w:r>
      <w:r>
        <w:rPr>
          <w:sz w:val="24"/>
          <w:vertAlign w:val="superscript"/>
        </w:rPr>
        <w:t>]</w:t>
      </w:r>
      <w:r>
        <w:rPr>
          <w:sz w:val="24"/>
        </w:rPr>
        <w:t>。本研究发现</w:t>
      </w:r>
      <w:r>
        <w:rPr>
          <w:rFonts w:hint="eastAsia"/>
          <w:sz w:val="24"/>
        </w:rPr>
        <w:t>，</w:t>
      </w:r>
      <w:r>
        <w:rPr>
          <w:sz w:val="24"/>
        </w:rPr>
        <w:t>随着小球藻替代水平的增加</w:t>
      </w:r>
      <w:r>
        <w:rPr>
          <w:rFonts w:hint="eastAsia"/>
          <w:sz w:val="24"/>
        </w:rPr>
        <w:t>，肌肉中的DHA（C22﹕ 6n-3）、n-3 PUFA的含量提高，</w:t>
      </w:r>
      <w:r>
        <w:rPr>
          <w:sz w:val="24"/>
        </w:rPr>
        <w:t>表明饲料中添加小球藻可提高框鳞镜鲤的营养价值、肌肉风味及抗炎能力。这与前人在草鱼、南美白对虾研究中的结果较为相似</w:t>
      </w:r>
      <w:r>
        <w:rPr>
          <w:rFonts w:hint="eastAsia"/>
          <w:sz w:val="24"/>
        </w:rPr>
        <w:t>，</w:t>
      </w:r>
      <w:r>
        <w:rPr>
          <w:sz w:val="24"/>
        </w:rPr>
        <w:t>即小球藻无论替代草鱼饲料中的豆粕,还是替代南美白对虾饲料中的鱼粉</w:t>
      </w:r>
      <w:r>
        <w:rPr>
          <w:rFonts w:hint="eastAsia"/>
          <w:sz w:val="24"/>
        </w:rPr>
        <w:t>，</w:t>
      </w:r>
      <w:r>
        <w:rPr>
          <w:sz w:val="24"/>
        </w:rPr>
        <w:t>均可提高肌肉中的PUFA含量</w:t>
      </w:r>
      <w:r>
        <w:rPr>
          <w:rFonts w:hint="eastAsia"/>
          <w:sz w:val="24"/>
          <w:vertAlign w:val="superscript"/>
        </w:rPr>
        <w:t>，</w:t>
      </w:r>
      <w:r>
        <w:fldChar w:fldCharType="begin"/>
      </w:r>
      <w:r>
        <w:instrText xml:space="preserve"> HYPERLINK \l "bookmark114" </w:instrText>
      </w:r>
      <w:r>
        <w:fldChar w:fldCharType="separate"/>
      </w:r>
      <w:r>
        <w:rPr>
          <w:sz w:val="24"/>
          <w:vertAlign w:val="superscript"/>
        </w:rPr>
        <w:t>33</w:t>
      </w:r>
      <w:r>
        <w:rPr>
          <w:sz w:val="24"/>
          <w:vertAlign w:val="superscript"/>
        </w:rPr>
        <w:fldChar w:fldCharType="end"/>
      </w:r>
      <w:r>
        <w:rPr>
          <w:sz w:val="24"/>
          <w:vertAlign w:val="superscript"/>
        </w:rPr>
        <w:t>]</w:t>
      </w:r>
      <w:r>
        <w:rPr>
          <w:sz w:val="24"/>
        </w:rPr>
        <w:t>。在水产动物摄食小球藻后,肌肉中PUFA含量的增加</w:t>
      </w:r>
      <w:r>
        <w:rPr>
          <w:rFonts w:hint="eastAsia"/>
          <w:sz w:val="24"/>
        </w:rPr>
        <w:t>，</w:t>
      </w:r>
      <w:r>
        <w:rPr>
          <w:sz w:val="24"/>
        </w:rPr>
        <w:t>与小球藻自身的脂肪酸营养组成密切相关</w:t>
      </w:r>
      <w:r>
        <w:rPr>
          <w:rFonts w:hint="eastAsia"/>
          <w:sz w:val="24"/>
        </w:rPr>
        <w:t>。</w:t>
      </w:r>
      <w:r>
        <w:rPr>
          <w:sz w:val="24"/>
        </w:rPr>
        <w:t>前人研究表明</w:t>
      </w:r>
      <w:r>
        <w:rPr>
          <w:rFonts w:hint="eastAsia"/>
          <w:sz w:val="24"/>
        </w:rPr>
        <w:t>，</w:t>
      </w:r>
      <w:r>
        <w:rPr>
          <w:sz w:val="24"/>
        </w:rPr>
        <w:t>小球藻的PUFA含量高达46.47%</w:t>
      </w:r>
      <w:r>
        <w:fldChar w:fldCharType="begin"/>
      </w:r>
      <w:r>
        <w:instrText xml:space="preserve"> HYPERLINK \l "bookmark117" </w:instrText>
      </w:r>
      <w:r>
        <w:fldChar w:fldCharType="separate"/>
      </w:r>
      <w:r>
        <w:rPr>
          <w:sz w:val="24"/>
          <w:vertAlign w:val="superscript"/>
        </w:rPr>
        <w:t>[</w:t>
      </w:r>
      <w:r>
        <w:rPr>
          <w:sz w:val="24"/>
          <w:vertAlign w:val="superscript"/>
        </w:rPr>
        <w:fldChar w:fldCharType="end"/>
      </w:r>
      <w:r>
        <w:fldChar w:fldCharType="begin"/>
      </w:r>
      <w:r>
        <w:instrText xml:space="preserve"> HYPERLINK \l "bookmark116" </w:instrText>
      </w:r>
      <w:r>
        <w:fldChar w:fldCharType="separate"/>
      </w:r>
      <w:r>
        <w:rPr>
          <w:sz w:val="24"/>
          <w:vertAlign w:val="superscript"/>
        </w:rPr>
        <w:t>37</w:t>
      </w:r>
      <w:r>
        <w:rPr>
          <w:sz w:val="24"/>
          <w:vertAlign w:val="superscript"/>
        </w:rPr>
        <w:fldChar w:fldCharType="end"/>
      </w:r>
      <w:r>
        <w:rPr>
          <w:sz w:val="24"/>
          <w:vertAlign w:val="superscript"/>
        </w:rPr>
        <w:t>]</w:t>
      </w:r>
      <w:r>
        <w:rPr>
          <w:sz w:val="24"/>
        </w:rPr>
        <w:t>。</w:t>
      </w:r>
    </w:p>
    <w:p w14:paraId="36B3EB9B">
      <w:pPr>
        <w:spacing w:line="360" w:lineRule="auto"/>
        <w:ind w:firstLine="480" w:firstLineChars="200"/>
        <w:rPr>
          <w:sz w:val="24"/>
        </w:rPr>
      </w:pPr>
      <w:r>
        <w:rPr>
          <w:sz w:val="24"/>
        </w:rPr>
        <w:t>肉色是影响鱼类肌肉产品外观的重要因素</w:t>
      </w:r>
      <w:r>
        <w:rPr>
          <w:rFonts w:hint="eastAsia"/>
          <w:sz w:val="24"/>
        </w:rPr>
        <w:t>，</w:t>
      </w:r>
      <w:r>
        <w:rPr>
          <w:sz w:val="24"/>
        </w:rPr>
        <w:t>与肌肉中沉积的类胡萝卜素含量密切相关</w:t>
      </w:r>
      <w:r>
        <w:fldChar w:fldCharType="begin"/>
      </w:r>
      <w:r>
        <w:instrText xml:space="preserve"> HYPERLINK \l "bookmark119" </w:instrText>
      </w:r>
      <w:r>
        <w:fldChar w:fldCharType="separate"/>
      </w:r>
      <w:r>
        <w:rPr>
          <w:sz w:val="24"/>
          <w:vertAlign w:val="superscript"/>
        </w:rPr>
        <w:t>[</w:t>
      </w:r>
      <w:r>
        <w:rPr>
          <w:sz w:val="24"/>
          <w:vertAlign w:val="superscript"/>
        </w:rPr>
        <w:fldChar w:fldCharType="end"/>
      </w:r>
      <w:r>
        <w:fldChar w:fldCharType="begin"/>
      </w:r>
      <w:r>
        <w:instrText xml:space="preserve"> HYPERLINK \l "bookmark118" </w:instrText>
      </w:r>
      <w:r>
        <w:fldChar w:fldCharType="separate"/>
      </w:r>
      <w:r>
        <w:rPr>
          <w:sz w:val="24"/>
          <w:vertAlign w:val="superscript"/>
        </w:rPr>
        <w:t>12</w:t>
      </w:r>
      <w:r>
        <w:rPr>
          <w:sz w:val="24"/>
          <w:vertAlign w:val="superscript"/>
        </w:rPr>
        <w:fldChar w:fldCharType="end"/>
      </w:r>
      <w:r>
        <w:rPr>
          <w:sz w:val="24"/>
          <w:vertAlign w:val="superscript"/>
        </w:rPr>
        <w:t>]</w:t>
      </w:r>
      <w:r>
        <w:rPr>
          <w:sz w:val="24"/>
        </w:rPr>
        <w:t>。类胡萝卜素是鱼体内无法自身合成的一类色素</w:t>
      </w:r>
      <w:r>
        <w:rPr>
          <w:rFonts w:hint="eastAsia"/>
          <w:sz w:val="24"/>
        </w:rPr>
        <w:t>，</w:t>
      </w:r>
      <w:r>
        <w:rPr>
          <w:sz w:val="24"/>
        </w:rPr>
        <w:t>必须依赖饲料供给</w:t>
      </w:r>
      <w:r>
        <w:fldChar w:fldCharType="begin"/>
      </w:r>
      <w:r>
        <w:instrText xml:space="preserve"> HYPERLINK \l "bookmark121" </w:instrText>
      </w:r>
      <w:r>
        <w:fldChar w:fldCharType="separate"/>
      </w:r>
      <w:r>
        <w:rPr>
          <w:sz w:val="24"/>
          <w:vertAlign w:val="superscript"/>
        </w:rPr>
        <w:t>[</w:t>
      </w:r>
      <w:r>
        <w:rPr>
          <w:sz w:val="24"/>
          <w:vertAlign w:val="superscript"/>
        </w:rPr>
        <w:fldChar w:fldCharType="end"/>
      </w:r>
      <w:r>
        <w:fldChar w:fldCharType="begin"/>
      </w:r>
      <w:r>
        <w:instrText xml:space="preserve"> HYPERLINK \l "bookmark120" </w:instrText>
      </w:r>
      <w:r>
        <w:fldChar w:fldCharType="separate"/>
      </w:r>
      <w:r>
        <w:rPr>
          <w:sz w:val="24"/>
          <w:vertAlign w:val="superscript"/>
        </w:rPr>
        <w:t>38</w:t>
      </w:r>
      <w:r>
        <w:rPr>
          <w:sz w:val="24"/>
          <w:vertAlign w:val="superscript"/>
        </w:rPr>
        <w:fldChar w:fldCharType="end"/>
      </w:r>
      <w:r>
        <w:rPr>
          <w:sz w:val="24"/>
          <w:vertAlign w:val="superscript"/>
        </w:rPr>
        <w:t>]</w:t>
      </w:r>
      <w:r>
        <w:rPr>
          <w:sz w:val="24"/>
        </w:rPr>
        <w:t>。本研究发现框鳞镜鲤背部肌肉的黄度值随着饲料中小球藻替代豆粕比例的增加而增加。这与在大口黑鲈</w:t>
      </w:r>
      <w:r>
        <w:rPr>
          <w:rFonts w:hint="eastAsia"/>
          <w:sz w:val="24"/>
          <w:vertAlign w:val="superscript"/>
        </w:rPr>
        <w:t>，</w:t>
      </w:r>
      <w:r>
        <w:fldChar w:fldCharType="begin"/>
      </w:r>
      <w:r>
        <w:instrText xml:space="preserve"> HYPERLINK \l "bookmark122" </w:instrText>
      </w:r>
      <w:r>
        <w:fldChar w:fldCharType="separate"/>
      </w:r>
      <w:r>
        <w:rPr>
          <w:sz w:val="24"/>
          <w:vertAlign w:val="superscript"/>
        </w:rPr>
        <w:t>39</w:t>
      </w:r>
      <w:r>
        <w:rPr>
          <w:sz w:val="24"/>
          <w:vertAlign w:val="superscript"/>
        </w:rPr>
        <w:fldChar w:fldCharType="end"/>
      </w:r>
      <w:r>
        <w:rPr>
          <w:sz w:val="24"/>
          <w:vertAlign w:val="superscript"/>
        </w:rPr>
        <w:t>]</w:t>
      </w:r>
      <w:r>
        <w:rPr>
          <w:sz w:val="24"/>
        </w:rPr>
        <w:t>和草鱼</w:t>
      </w:r>
      <w:r>
        <w:rPr>
          <w:sz w:val="24"/>
          <w:vertAlign w:val="superscript"/>
        </w:rPr>
        <w:fldChar w:fldCharType="begin"/>
      </w:r>
      <w:r>
        <w:rPr>
          <w:sz w:val="24"/>
          <w:vertAlign w:val="superscript"/>
        </w:rPr>
        <w:instrText xml:space="preserve"> HYPERLINK \l "bookmark124"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"bookmark123" </w:instrText>
      </w:r>
      <w:r>
        <w:fldChar w:fldCharType="separate"/>
      </w:r>
      <w:r>
        <w:rPr>
          <w:sz w:val="24"/>
          <w:vertAlign w:val="superscript"/>
        </w:rPr>
        <w:t>33</w:t>
      </w:r>
      <w:r>
        <w:rPr>
          <w:sz w:val="24"/>
          <w:vertAlign w:val="superscript"/>
        </w:rPr>
        <w:fldChar w:fldCharType="end"/>
      </w:r>
      <w:r>
        <w:rPr>
          <w:sz w:val="24"/>
          <w:vertAlign w:val="superscript"/>
        </w:rPr>
        <w:t>]</w:t>
      </w:r>
      <w:r>
        <w:rPr>
          <w:sz w:val="24"/>
        </w:rPr>
        <w:t>中观察到的肌肉黄度值随小球藻添加水平的增加显著增强的结论一致。其原因在于</w:t>
      </w:r>
      <w:r>
        <w:rPr>
          <w:rFonts w:hint="eastAsia"/>
          <w:sz w:val="24"/>
        </w:rPr>
        <w:t>，</w:t>
      </w:r>
      <w:r>
        <w:rPr>
          <w:sz w:val="24"/>
        </w:rPr>
        <w:t>小球藻作为富含叶黄素等类胡萝卜素的微藻资源</w:t>
      </w:r>
      <w:r>
        <w:rPr>
          <w:rFonts w:hint="eastAsia"/>
          <w:sz w:val="24"/>
        </w:rPr>
        <w:t>，</w:t>
      </w:r>
      <w:r>
        <w:rPr>
          <w:sz w:val="24"/>
        </w:rPr>
        <w:t>其富含叶黄素等类胡萝卜素经消化吸收后</w:t>
      </w:r>
      <w:r>
        <w:rPr>
          <w:rFonts w:hint="eastAsia"/>
          <w:sz w:val="24"/>
        </w:rPr>
        <w:t>，</w:t>
      </w:r>
      <w:r>
        <w:rPr>
          <w:sz w:val="24"/>
        </w:rPr>
        <w:t>在肌肉中沉积</w:t>
      </w:r>
      <w:r>
        <w:rPr>
          <w:rFonts w:hint="eastAsia"/>
          <w:sz w:val="24"/>
        </w:rPr>
        <w:t>，</w:t>
      </w:r>
      <w:r>
        <w:rPr>
          <w:sz w:val="24"/>
        </w:rPr>
        <w:t>从而改善了肌肉肉色</w:t>
      </w:r>
      <w:r>
        <w:rPr>
          <w:rFonts w:hint="eastAsia"/>
          <w:sz w:val="24"/>
        </w:rPr>
        <w:t>，</w:t>
      </w:r>
      <w:r>
        <w:rPr>
          <w:sz w:val="24"/>
        </w:rPr>
        <w:t>而小球藻作为肉色增强剂在饲料中的应用潜力巨大</w:t>
      </w:r>
      <w:r>
        <w:fldChar w:fldCharType="begin"/>
      </w:r>
      <w:r>
        <w:instrText xml:space="preserve"> HYPERLINK \l "bookmark127" </w:instrText>
      </w:r>
      <w:r>
        <w:fldChar w:fldCharType="separate"/>
      </w:r>
      <w:r>
        <w:rPr>
          <w:sz w:val="24"/>
          <w:vertAlign w:val="superscript"/>
        </w:rPr>
        <w:t>[</w:t>
      </w:r>
      <w:r>
        <w:rPr>
          <w:sz w:val="24"/>
          <w:vertAlign w:val="superscript"/>
        </w:rPr>
        <w:fldChar w:fldCharType="end"/>
      </w:r>
      <w:r>
        <w:fldChar w:fldCharType="begin"/>
      </w:r>
      <w:r>
        <w:instrText xml:space="preserve"> HYPERLINK \l "bookmark126" </w:instrText>
      </w:r>
      <w:r>
        <w:fldChar w:fldCharType="separate"/>
      </w:r>
      <w:r>
        <w:rPr>
          <w:sz w:val="24"/>
          <w:vertAlign w:val="superscript"/>
        </w:rPr>
        <w:t>12</w:t>
      </w:r>
      <w:r>
        <w:rPr>
          <w:sz w:val="24"/>
          <w:vertAlign w:val="superscript"/>
        </w:rPr>
        <w:fldChar w:fldCharType="end"/>
      </w:r>
      <w:r>
        <w:rPr>
          <w:sz w:val="24"/>
          <w:vertAlign w:val="superscript"/>
        </w:rPr>
        <w:t>]</w:t>
      </w:r>
      <w:r>
        <w:rPr>
          <w:sz w:val="24"/>
        </w:rPr>
        <w:t>。</w:t>
      </w:r>
    </w:p>
    <w:p w14:paraId="2F626F54">
      <w:pPr>
        <w:spacing w:line="360" w:lineRule="auto"/>
        <w:ind w:firstLine="480" w:firstLineChars="200"/>
        <w:rPr>
          <w:sz w:val="24"/>
        </w:rPr>
      </w:pPr>
      <w:r>
        <w:rPr>
          <w:sz w:val="24"/>
        </w:rPr>
        <w:t>质构特性是评价肌肉食用口感的核心指标</w:t>
      </w:r>
      <w:r>
        <w:rPr>
          <w:rFonts w:hint="eastAsia"/>
          <w:sz w:val="24"/>
        </w:rPr>
        <w:t>，</w:t>
      </w:r>
      <w:r>
        <w:rPr>
          <w:sz w:val="24"/>
        </w:rPr>
        <w:t>通常包括硬度、弹性、咀嚼性等参数</w:t>
      </w:r>
      <w:r>
        <w:fldChar w:fldCharType="begin"/>
      </w:r>
      <w:r>
        <w:instrText xml:space="preserve"> HYPERLINK \l "bookmark129" </w:instrText>
      </w:r>
      <w:r>
        <w:fldChar w:fldCharType="separate"/>
      </w:r>
      <w:r>
        <w:rPr>
          <w:sz w:val="24"/>
          <w:vertAlign w:val="superscript"/>
        </w:rPr>
        <w:t>[</w:t>
      </w:r>
      <w:r>
        <w:rPr>
          <w:sz w:val="24"/>
          <w:vertAlign w:val="superscript"/>
        </w:rPr>
        <w:fldChar w:fldCharType="end"/>
      </w:r>
      <w:r>
        <w:fldChar w:fldCharType="begin"/>
      </w:r>
      <w:r>
        <w:instrText xml:space="preserve"> HYPERLINK \l "bookmark128" </w:instrText>
      </w:r>
      <w:r>
        <w:fldChar w:fldCharType="separate"/>
      </w:r>
      <w:r>
        <w:rPr>
          <w:sz w:val="24"/>
          <w:vertAlign w:val="superscript"/>
        </w:rPr>
        <w:t>33</w:t>
      </w:r>
      <w:r>
        <w:rPr>
          <w:sz w:val="24"/>
          <w:vertAlign w:val="superscript"/>
        </w:rPr>
        <w:fldChar w:fldCharType="end"/>
      </w:r>
      <w:r>
        <w:rPr>
          <w:sz w:val="24"/>
          <w:vertAlign w:val="superscript"/>
        </w:rPr>
        <w:t>]</w:t>
      </w:r>
      <w:r>
        <w:rPr>
          <w:sz w:val="24"/>
        </w:rPr>
        <w:t>。本研究发现</w:t>
      </w:r>
      <w:r>
        <w:rPr>
          <w:rFonts w:hint="eastAsia"/>
          <w:sz w:val="24"/>
        </w:rPr>
        <w:t>，</w:t>
      </w:r>
      <w:r>
        <w:rPr>
          <w:sz w:val="24"/>
        </w:rPr>
        <w:t>框鳞镜鲤摄食小球藻后</w:t>
      </w:r>
      <w:r>
        <w:rPr>
          <w:rFonts w:hint="eastAsia"/>
          <w:sz w:val="24"/>
        </w:rPr>
        <w:t>，</w:t>
      </w:r>
      <w:r>
        <w:rPr>
          <w:sz w:val="24"/>
        </w:rPr>
        <w:t>其肌肉生肉的硬度、黏性、咀嚼性、胶着性、弹性、回复性得到了提升</w:t>
      </w:r>
      <w:r>
        <w:rPr>
          <w:rFonts w:hint="eastAsia"/>
          <w:sz w:val="24"/>
        </w:rPr>
        <w:t>，</w:t>
      </w:r>
      <w:r>
        <w:rPr>
          <w:sz w:val="24"/>
        </w:rPr>
        <w:t>进一步通过主成分分析发现</w:t>
      </w:r>
      <w:r>
        <w:rPr>
          <w:rFonts w:hint="eastAsia"/>
          <w:sz w:val="24"/>
        </w:rPr>
        <w:t>，</w:t>
      </w:r>
      <w:r>
        <w:rPr>
          <w:sz w:val="24"/>
        </w:rPr>
        <w:t>CV50处理组在质构特性方面可与对照组、CV25、CV750、CV100处理组明显分开</w:t>
      </w:r>
      <w:r>
        <w:rPr>
          <w:rFonts w:hint="eastAsia"/>
          <w:sz w:val="24"/>
        </w:rPr>
        <w:t>，</w:t>
      </w:r>
      <w:r>
        <w:rPr>
          <w:sz w:val="24"/>
        </w:rPr>
        <w:t>表明CV50处理组肌肉生肉质构特性明显优于其他处理组。与此同时</w:t>
      </w:r>
      <w:r>
        <w:rPr>
          <w:rFonts w:hint="eastAsia"/>
          <w:sz w:val="24"/>
        </w:rPr>
        <w:t>，</w:t>
      </w:r>
      <w:r>
        <w:rPr>
          <w:sz w:val="24"/>
        </w:rPr>
        <w:t>本研究也发现</w:t>
      </w:r>
      <w:r>
        <w:rPr>
          <w:rFonts w:hint="eastAsia"/>
          <w:sz w:val="24"/>
        </w:rPr>
        <w:t>，</w:t>
      </w:r>
      <w:r>
        <w:rPr>
          <w:sz w:val="24"/>
        </w:rPr>
        <w:t>框鳞镜鲤肌肉熟肉质构特性变化趋势与生肉质构特性具有高度一致性</w:t>
      </w:r>
      <w:r>
        <w:rPr>
          <w:rFonts w:hint="eastAsia"/>
          <w:sz w:val="24"/>
        </w:rPr>
        <w:t>，</w:t>
      </w:r>
      <w:r>
        <w:rPr>
          <w:sz w:val="24"/>
        </w:rPr>
        <w:t>表明小球藻的添加可能增强了肌肉蛋白质的热稳定性</w:t>
      </w:r>
      <w:r>
        <w:rPr>
          <w:rFonts w:hint="eastAsia"/>
          <w:sz w:val="24"/>
        </w:rPr>
        <w:t>，</w:t>
      </w:r>
      <w:r>
        <w:rPr>
          <w:sz w:val="24"/>
        </w:rPr>
        <w:t>使其在烹饪后仍能保持良好的质地。在草鱼的研究中也得到了与本研究类似的结果</w:t>
      </w:r>
      <w:r>
        <w:fldChar w:fldCharType="begin"/>
      </w:r>
      <w:r>
        <w:instrText xml:space="preserve"> HYPERLINK \l "bookmark131" </w:instrText>
      </w:r>
      <w:r>
        <w:fldChar w:fldCharType="separate"/>
      </w:r>
      <w:r>
        <w:rPr>
          <w:sz w:val="24"/>
          <w:vertAlign w:val="superscript"/>
        </w:rPr>
        <w:t>[</w:t>
      </w:r>
      <w:r>
        <w:rPr>
          <w:sz w:val="24"/>
          <w:vertAlign w:val="superscript"/>
        </w:rPr>
        <w:fldChar w:fldCharType="end"/>
      </w:r>
      <w:r>
        <w:fldChar w:fldCharType="begin"/>
      </w:r>
      <w:r>
        <w:instrText xml:space="preserve"> HYPERLINK \l "bookmark130" </w:instrText>
      </w:r>
      <w:r>
        <w:fldChar w:fldCharType="separate"/>
      </w:r>
      <w:r>
        <w:rPr>
          <w:sz w:val="24"/>
          <w:vertAlign w:val="superscript"/>
        </w:rPr>
        <w:t>40</w:t>
      </w:r>
      <w:r>
        <w:rPr>
          <w:sz w:val="24"/>
          <w:vertAlign w:val="superscript"/>
        </w:rPr>
        <w:fldChar w:fldCharType="end"/>
      </w:r>
      <w:r>
        <w:rPr>
          <w:sz w:val="24"/>
          <w:vertAlign w:val="superscript"/>
        </w:rPr>
        <w:t>]</w:t>
      </w:r>
      <w:r>
        <w:rPr>
          <w:sz w:val="24"/>
        </w:rPr>
        <w:t>。鱼肉的质构特性与肌肉组织学特性</w:t>
      </w:r>
      <w:r>
        <w:rPr>
          <w:rFonts w:hint="eastAsia"/>
          <w:sz w:val="24"/>
        </w:rPr>
        <w:t>（</w:t>
      </w:r>
      <w:r>
        <w:rPr>
          <w:sz w:val="24"/>
        </w:rPr>
        <w:t>肌纤维密度和大小</w:t>
      </w:r>
      <w:r>
        <w:rPr>
          <w:rFonts w:hint="eastAsia"/>
          <w:sz w:val="24"/>
        </w:rPr>
        <w:t>）</w:t>
      </w:r>
      <w:r>
        <w:rPr>
          <w:sz w:val="24"/>
        </w:rPr>
        <w:t>密切相关</w:t>
      </w:r>
      <w:r>
        <w:rPr>
          <w:rFonts w:hint="eastAsia"/>
          <w:sz w:val="24"/>
        </w:rPr>
        <w:t>，</w:t>
      </w:r>
      <w:r>
        <w:rPr>
          <w:sz w:val="24"/>
        </w:rPr>
        <w:t>肌肉硬度、咀嚼性及黏性随着肌纤维密度增加而增加</w:t>
      </w:r>
      <w:r>
        <w:fldChar w:fldCharType="begin"/>
      </w:r>
      <w:r>
        <w:instrText xml:space="preserve"> HYPERLINK \l "bookmark133" </w:instrText>
      </w:r>
      <w:r>
        <w:fldChar w:fldCharType="separate"/>
      </w:r>
      <w:r>
        <w:rPr>
          <w:sz w:val="24"/>
          <w:vertAlign w:val="superscript"/>
        </w:rPr>
        <w:t>[</w:t>
      </w:r>
      <w:r>
        <w:rPr>
          <w:sz w:val="24"/>
          <w:vertAlign w:val="superscript"/>
        </w:rPr>
        <w:fldChar w:fldCharType="end"/>
      </w:r>
      <w:r>
        <w:fldChar w:fldCharType="begin"/>
      </w:r>
      <w:r>
        <w:instrText xml:space="preserve"> HYPERLINK \l "bookmark132" </w:instrText>
      </w:r>
      <w:r>
        <w:fldChar w:fldCharType="separate"/>
      </w:r>
      <w:r>
        <w:rPr>
          <w:sz w:val="24"/>
          <w:vertAlign w:val="superscript"/>
        </w:rPr>
        <w:t>33</w:t>
      </w:r>
      <w:r>
        <w:rPr>
          <w:sz w:val="24"/>
          <w:vertAlign w:val="superscript"/>
        </w:rPr>
        <w:fldChar w:fldCharType="end"/>
      </w:r>
      <w:r>
        <w:rPr>
          <w:sz w:val="24"/>
          <w:vertAlign w:val="superscript"/>
        </w:rPr>
        <w:t>]</w:t>
      </w:r>
      <w:r>
        <w:rPr>
          <w:sz w:val="24"/>
        </w:rPr>
        <w:t>。在本研究中</w:t>
      </w:r>
      <w:r>
        <w:rPr>
          <w:rFonts w:hint="eastAsia"/>
          <w:sz w:val="24"/>
        </w:rPr>
        <w:t>，</w:t>
      </w:r>
      <w:r>
        <w:rPr>
          <w:sz w:val="24"/>
        </w:rPr>
        <w:t>发现所有添加小球藻处理组的肌纤维密度均高于对照组</w:t>
      </w:r>
      <w:r>
        <w:rPr>
          <w:rFonts w:hint="eastAsia"/>
          <w:sz w:val="24"/>
        </w:rPr>
        <w:t>，</w:t>
      </w:r>
      <w:r>
        <w:rPr>
          <w:sz w:val="24"/>
        </w:rPr>
        <w:t>而肌纤维直径</w:t>
      </w:r>
      <w:r>
        <w:rPr>
          <w:rFonts w:hint="eastAsia"/>
          <w:sz w:val="24"/>
        </w:rPr>
        <w:t>（</w:t>
      </w:r>
      <w:r>
        <w:rPr>
          <w:sz w:val="24"/>
        </w:rPr>
        <w:t>肌纤维大小</w:t>
      </w:r>
      <w:r>
        <w:rPr>
          <w:rFonts w:hint="eastAsia"/>
          <w:sz w:val="24"/>
        </w:rPr>
        <w:t>）</w:t>
      </w:r>
      <w:r>
        <w:rPr>
          <w:sz w:val="24"/>
        </w:rPr>
        <w:t>呈相反的趋势</w:t>
      </w:r>
      <w:r>
        <w:rPr>
          <w:rFonts w:hint="eastAsia"/>
          <w:sz w:val="24"/>
        </w:rPr>
        <w:t>，</w:t>
      </w:r>
      <w:r>
        <w:rPr>
          <w:sz w:val="24"/>
        </w:rPr>
        <w:t>该结果与肌肉质构特性的提升刚好相互印证。这也为解释框鳞镜鲤摄食小球藻后表现出更佳的硬度、咀嚼性与弹性等质构特性提供了解剖学依据。</w:t>
      </w:r>
    </w:p>
    <w:p w14:paraId="6E55B112">
      <w:pPr>
        <w:spacing w:line="360" w:lineRule="auto"/>
        <w:rPr>
          <w:sz w:val="24"/>
        </w:rPr>
      </w:pPr>
      <w:r>
        <w:rPr>
          <w:sz w:val="24"/>
        </w:rPr>
        <w:t>3.4  小球藻替代饲料豆粕对框鳞镜鲤肠道菌群的影响</w:t>
      </w:r>
    </w:p>
    <w:p w14:paraId="6876EB49">
      <w:pPr>
        <w:spacing w:line="360" w:lineRule="auto"/>
        <w:ind w:firstLine="480" w:firstLineChars="200"/>
        <w:rPr>
          <w:sz w:val="24"/>
        </w:rPr>
      </w:pPr>
      <w:r>
        <w:rPr>
          <w:sz w:val="24"/>
        </w:rPr>
        <w:t>鱼类肠道是消化吸收营养物质和抵御病原体入侵的第一道屏障</w:t>
      </w:r>
      <w:r>
        <w:rPr>
          <w:rFonts w:hint="eastAsia"/>
          <w:sz w:val="24"/>
        </w:rPr>
        <w:t>，</w:t>
      </w:r>
      <w:r>
        <w:rPr>
          <w:sz w:val="24"/>
        </w:rPr>
        <w:t>是维持肠道健康与功能的基础,而肠道菌群则是促进肠道发挥营养物质消化吸收、抵御病害作用的重要保障</w:t>
      </w:r>
      <w:r>
        <w:rPr>
          <w:sz w:val="24"/>
          <w:vertAlign w:val="superscript"/>
        </w:rPr>
        <w:fldChar w:fldCharType="begin"/>
      </w:r>
      <w:r>
        <w:rPr>
          <w:sz w:val="24"/>
          <w:vertAlign w:val="superscript"/>
        </w:rPr>
        <w:instrText xml:space="preserve"> HYPERLINK \l "bookmark135"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"bookmark134" </w:instrText>
      </w:r>
      <w:r>
        <w:fldChar w:fldCharType="separate"/>
      </w:r>
      <w:r>
        <w:rPr>
          <w:sz w:val="24"/>
          <w:vertAlign w:val="superscript"/>
        </w:rPr>
        <w:t>41</w:t>
      </w:r>
      <w:r>
        <w:rPr>
          <w:sz w:val="24"/>
          <w:vertAlign w:val="superscript"/>
        </w:rPr>
        <w:fldChar w:fldCharType="end"/>
      </w:r>
      <w:r>
        <w:rPr>
          <w:sz w:val="24"/>
          <w:vertAlign w:val="superscript"/>
        </w:rPr>
        <w:t>]</w:t>
      </w:r>
      <w:r>
        <w:rPr>
          <w:sz w:val="24"/>
        </w:rPr>
        <w:t>。α 多样性能够综合反映单一样本内部的物种组成复杂度和种群规模特征。在具体量化时</w:t>
      </w:r>
      <w:r>
        <w:rPr>
          <w:rFonts w:hint="eastAsia"/>
          <w:sz w:val="24"/>
        </w:rPr>
        <w:t>，</w:t>
      </w:r>
      <w:r>
        <w:rPr>
          <w:sz w:val="24"/>
        </w:rPr>
        <w:t>Shannon和Simpson指数主要用于评估菌群的物种分布均匀度与多样性层次,而Chao 1指数则专注于表征样本中微生物的种群数量丰度</w:t>
      </w:r>
      <w:r>
        <w:rPr>
          <w:rFonts w:hint="eastAsia"/>
          <w:sz w:val="24"/>
        </w:rPr>
        <w:t>。</w:t>
      </w:r>
      <w:r>
        <w:rPr>
          <w:sz w:val="24"/>
        </w:rPr>
        <w:t>β多样性分析可反映肠道微生物群落的组成和功能差异。本研究发现</w:t>
      </w:r>
      <w:r>
        <w:rPr>
          <w:rFonts w:hint="eastAsia"/>
          <w:sz w:val="24"/>
        </w:rPr>
        <w:t>，</w:t>
      </w:r>
      <w:r>
        <w:rPr>
          <w:sz w:val="24"/>
        </w:rPr>
        <w:t>框鳞镜鲤肠道菌群的α 多样性未</w:t>
      </w:r>
      <w:r>
        <w:rPr>
          <w:rFonts w:hint="eastAsia"/>
          <w:sz w:val="24"/>
        </w:rPr>
        <w:t>受</w:t>
      </w:r>
      <w:r>
        <w:rPr>
          <w:sz w:val="24"/>
        </w:rPr>
        <w:t>饲料中是否添加小球藻的影响。而在β多样性分析中发现</w:t>
      </w:r>
      <w:r>
        <w:rPr>
          <w:rFonts w:hint="eastAsia"/>
          <w:sz w:val="24"/>
        </w:rPr>
        <w:t>，</w:t>
      </w:r>
      <w:r>
        <w:rPr>
          <w:sz w:val="24"/>
        </w:rPr>
        <w:t>CV50处理组肠道菌群与对照组和CV100处理组明显分离</w:t>
      </w:r>
      <w:r>
        <w:rPr>
          <w:rFonts w:hint="eastAsia"/>
          <w:sz w:val="24"/>
        </w:rPr>
        <w:t>，</w:t>
      </w:r>
      <w:r>
        <w:rPr>
          <w:sz w:val="24"/>
        </w:rPr>
        <w:t>独立成群,表明CV50处理组鱼体肠道群落的组成和功能与对照组和CV100处理组存在明显差异</w:t>
      </w:r>
      <w:r>
        <w:rPr>
          <w:rFonts w:hint="eastAsia"/>
          <w:sz w:val="24"/>
        </w:rPr>
        <w:t>。</w:t>
      </w:r>
      <w:r>
        <w:rPr>
          <w:sz w:val="24"/>
        </w:rPr>
        <w:t>对照组与CV100处理组则相互交织重叠</w:t>
      </w:r>
      <w:r>
        <w:rPr>
          <w:rFonts w:hint="eastAsia"/>
          <w:sz w:val="24"/>
        </w:rPr>
        <w:t>，</w:t>
      </w:r>
      <w:r>
        <w:rPr>
          <w:sz w:val="24"/>
        </w:rPr>
        <w:t>说明对照组与CV100处理组的肠道菌群在组成和功能</w:t>
      </w:r>
      <w:r>
        <w:rPr>
          <w:rFonts w:hint="eastAsia"/>
          <w:sz w:val="24"/>
        </w:rPr>
        <w:t>上极其</w:t>
      </w:r>
      <w:r>
        <w:rPr>
          <w:sz w:val="24"/>
        </w:rPr>
        <w:t>相似。结合本研究鱼体的生长结果来看</w:t>
      </w:r>
      <w:r>
        <w:rPr>
          <w:rFonts w:hint="eastAsia"/>
          <w:sz w:val="24"/>
        </w:rPr>
        <w:t>，</w:t>
      </w:r>
      <w:r>
        <w:rPr>
          <w:sz w:val="24"/>
        </w:rPr>
        <w:t>对照组鱼体末重与CV100处理组无差异</w:t>
      </w:r>
      <w:r>
        <w:rPr>
          <w:rFonts w:hint="eastAsia"/>
          <w:sz w:val="24"/>
        </w:rPr>
        <w:t>，</w:t>
      </w:r>
      <w:r>
        <w:rPr>
          <w:sz w:val="24"/>
        </w:rPr>
        <w:t>但两个处理组的末重均显著低于CV50处理组</w:t>
      </w:r>
      <w:r>
        <w:rPr>
          <w:rFonts w:hint="eastAsia"/>
          <w:sz w:val="24"/>
        </w:rPr>
        <w:t>，</w:t>
      </w:r>
      <w:r>
        <w:rPr>
          <w:sz w:val="24"/>
        </w:rPr>
        <w:t>其原因很有可能是由鱼</w:t>
      </w:r>
      <w:bookmarkStart w:id="47" w:name="bookmark2"/>
      <w:bookmarkEnd w:id="47"/>
      <w:r>
        <w:rPr>
          <w:sz w:val="24"/>
        </w:rPr>
        <w:t>体肠道菌群β多样性的差异所致。进一步对肠道菌群组成进行门水平分析</w:t>
      </w:r>
      <w:r>
        <w:rPr>
          <w:rFonts w:hint="eastAsia"/>
          <w:sz w:val="24"/>
        </w:rPr>
        <w:t>，</w:t>
      </w:r>
      <w:r>
        <w:rPr>
          <w:sz w:val="24"/>
        </w:rPr>
        <w:t>发现变形菌门是框鳞镜鲤肠道中最主要的优势菌群</w:t>
      </w:r>
      <w:r>
        <w:rPr>
          <w:rFonts w:hint="eastAsia"/>
          <w:sz w:val="24"/>
        </w:rPr>
        <w:t>，</w:t>
      </w:r>
      <w:r>
        <w:rPr>
          <w:sz w:val="24"/>
        </w:rPr>
        <w:t>这与在河蟹</w:t>
      </w:r>
      <w:r>
        <w:rPr>
          <w:rFonts w:hint="eastAsia"/>
          <w:sz w:val="24"/>
        </w:rPr>
        <w:t>（</w:t>
      </w:r>
      <w:r>
        <w:rPr>
          <w:i/>
          <w:iCs/>
          <w:sz w:val="24"/>
        </w:rPr>
        <w:t>Eriocheir sinensis</w:t>
      </w:r>
      <w:r>
        <w:rPr>
          <w:rFonts w:hint="eastAsia"/>
          <w:sz w:val="24"/>
        </w:rPr>
        <w:t>）</w:t>
      </w:r>
      <w:r>
        <w:rPr>
          <w:sz w:val="24"/>
        </w:rPr>
        <w:t>中发现变形菌门在肠道菌群中占比较高,</w:t>
      </w:r>
      <w:bookmarkStart w:id="48" w:name="bookmark4"/>
      <w:bookmarkEnd w:id="48"/>
      <w:r>
        <w:rPr>
          <w:sz w:val="24"/>
        </w:rPr>
        <w:t>且在稳定肠道健康中发挥重要作用的结果较为一致</w:t>
      </w:r>
      <w:r>
        <w:rPr>
          <w:sz w:val="24"/>
          <w:vertAlign w:val="superscript"/>
        </w:rPr>
        <w:t>[</w:t>
      </w:r>
      <w:r>
        <w:fldChar w:fldCharType="begin"/>
      </w:r>
      <w:r>
        <w:instrText xml:space="preserve"> HYPERLINK \l "bookmark136" </w:instrText>
      </w:r>
      <w:r>
        <w:fldChar w:fldCharType="separate"/>
      </w:r>
      <w:r>
        <w:rPr>
          <w:sz w:val="24"/>
          <w:vertAlign w:val="superscript"/>
        </w:rPr>
        <w:t>42</w:t>
      </w:r>
      <w:r>
        <w:rPr>
          <w:sz w:val="24"/>
          <w:vertAlign w:val="superscript"/>
        </w:rPr>
        <w:fldChar w:fldCharType="end"/>
      </w:r>
      <w:r>
        <w:rPr>
          <w:sz w:val="24"/>
          <w:vertAlign w:val="superscript"/>
        </w:rPr>
        <w:t>]</w:t>
      </w:r>
      <w:r>
        <w:rPr>
          <w:sz w:val="24"/>
        </w:rPr>
        <w:t>。此外</w:t>
      </w:r>
      <w:r>
        <w:rPr>
          <w:rFonts w:hint="eastAsia"/>
          <w:sz w:val="24"/>
        </w:rPr>
        <w:t>，</w:t>
      </w:r>
      <w:r>
        <w:rPr>
          <w:sz w:val="24"/>
        </w:rPr>
        <w:t>前人研究发现变形菌门具有极强的蛋白质分解能力</w:t>
      </w:r>
      <w:r>
        <w:rPr>
          <w:rFonts w:hint="eastAsia"/>
          <w:sz w:val="24"/>
        </w:rPr>
        <w:t>，</w:t>
      </w:r>
      <w:r>
        <w:rPr>
          <w:sz w:val="24"/>
        </w:rPr>
        <w:t>能将饲料中的大分子蛋白质降解为小肽和氨基酸</w:t>
      </w:r>
      <w:r>
        <w:rPr>
          <w:rFonts w:hint="eastAsia"/>
          <w:sz w:val="24"/>
        </w:rPr>
        <w:t>，</w:t>
      </w:r>
      <w:r>
        <w:rPr>
          <w:sz w:val="24"/>
        </w:rPr>
        <w:t>提高鱼类肠道对饲料蛋白的消化吸收</w:t>
      </w:r>
      <w:r>
        <w:rPr>
          <w:sz w:val="24"/>
          <w:vertAlign w:val="superscript"/>
        </w:rPr>
        <w:t>[</w:t>
      </w:r>
      <w:r>
        <w:fldChar w:fldCharType="begin"/>
      </w:r>
      <w:r>
        <w:instrText xml:space="preserve"> HYPERLINK \l "bookmark137" </w:instrText>
      </w:r>
      <w:r>
        <w:fldChar w:fldCharType="separate"/>
      </w:r>
      <w:r>
        <w:rPr>
          <w:sz w:val="24"/>
          <w:vertAlign w:val="superscript"/>
        </w:rPr>
        <w:t>43</w:t>
      </w:r>
      <w:r>
        <w:rPr>
          <w:sz w:val="24"/>
          <w:vertAlign w:val="superscript"/>
        </w:rPr>
        <w:fldChar w:fldCharType="end"/>
      </w:r>
      <w:r>
        <w:rPr>
          <w:sz w:val="24"/>
          <w:vertAlign w:val="superscript"/>
        </w:rPr>
        <w:t>]</w:t>
      </w:r>
      <w:r>
        <w:rPr>
          <w:sz w:val="24"/>
        </w:rPr>
        <w:t>。在本研究中</w:t>
      </w:r>
      <w:r>
        <w:rPr>
          <w:rFonts w:hint="eastAsia"/>
          <w:sz w:val="24"/>
        </w:rPr>
        <w:t>，</w:t>
      </w:r>
      <w:r>
        <w:rPr>
          <w:sz w:val="24"/>
        </w:rPr>
        <w:t>虽然变形菌门的相对丰度在各组间无显著差异</w:t>
      </w:r>
      <w:r>
        <w:rPr>
          <w:rFonts w:hint="eastAsia"/>
          <w:sz w:val="24"/>
        </w:rPr>
        <w:t>，</w:t>
      </w:r>
      <w:r>
        <w:rPr>
          <w:sz w:val="24"/>
        </w:rPr>
        <w:t>但CV50处理组的变形菌门的丰度在所有处理组中最高</w:t>
      </w:r>
      <w:r>
        <w:rPr>
          <w:rFonts w:hint="eastAsia"/>
          <w:sz w:val="24"/>
        </w:rPr>
        <w:t>；</w:t>
      </w:r>
      <w:r>
        <w:rPr>
          <w:sz w:val="24"/>
        </w:rPr>
        <w:t>CV50组鱼体生长性能最</w:t>
      </w:r>
      <w:bookmarkStart w:id="49" w:name="bookmark6"/>
      <w:bookmarkEnd w:id="49"/>
      <w:r>
        <w:rPr>
          <w:sz w:val="24"/>
        </w:rPr>
        <w:t>佳</w:t>
      </w:r>
      <w:r>
        <w:rPr>
          <w:rFonts w:hint="eastAsia"/>
          <w:sz w:val="24"/>
        </w:rPr>
        <w:t>，</w:t>
      </w:r>
      <w:r>
        <w:rPr>
          <w:sz w:val="24"/>
        </w:rPr>
        <w:t>可能也与肠道中的变形菌门丰度最高有关。由于微藻中的细胞壁多糖结构复杂、惰性极强</w:t>
      </w:r>
      <w:r>
        <w:rPr>
          <w:rFonts w:hint="eastAsia"/>
          <w:sz w:val="24"/>
        </w:rPr>
        <w:t>，</w:t>
      </w:r>
      <w:r>
        <w:rPr>
          <w:sz w:val="24"/>
        </w:rPr>
        <w:t>水产动物无法依靠肠道消化酶来完成对细胞壁多糖的利用。但近期研究发现</w:t>
      </w:r>
      <w:r>
        <w:rPr>
          <w:rFonts w:hint="eastAsia"/>
          <w:sz w:val="24"/>
        </w:rPr>
        <w:t>，</w:t>
      </w:r>
      <w:r>
        <w:rPr>
          <w:sz w:val="24"/>
        </w:rPr>
        <w:t>疣微菌门细菌可消化藻类多糖</w:t>
      </w:r>
      <w:r>
        <w:fldChar w:fldCharType="begin"/>
      </w:r>
      <w:r>
        <w:instrText xml:space="preserve"> HYPERLINK \l "bookmark139" </w:instrText>
      </w:r>
      <w:r>
        <w:fldChar w:fldCharType="separate"/>
      </w:r>
      <w:r>
        <w:rPr>
          <w:sz w:val="24"/>
          <w:vertAlign w:val="superscript"/>
        </w:rPr>
        <w:t>[</w:t>
      </w:r>
      <w:r>
        <w:rPr>
          <w:sz w:val="24"/>
          <w:vertAlign w:val="superscript"/>
        </w:rPr>
        <w:fldChar w:fldCharType="end"/>
      </w:r>
      <w:r>
        <w:fldChar w:fldCharType="begin"/>
      </w:r>
      <w:r>
        <w:instrText xml:space="preserve"> HYPERLINK \l "bookmark138" </w:instrText>
      </w:r>
      <w:r>
        <w:fldChar w:fldCharType="separate"/>
      </w:r>
      <w:r>
        <w:rPr>
          <w:sz w:val="24"/>
          <w:vertAlign w:val="superscript"/>
        </w:rPr>
        <w:t>44</w:t>
      </w:r>
      <w:r>
        <w:rPr>
          <w:sz w:val="24"/>
          <w:vertAlign w:val="superscript"/>
        </w:rPr>
        <w:fldChar w:fldCharType="end"/>
      </w:r>
      <w:r>
        <w:rPr>
          <w:sz w:val="24"/>
          <w:vertAlign w:val="superscript"/>
        </w:rPr>
        <w:t>]</w:t>
      </w:r>
      <w:r>
        <w:rPr>
          <w:sz w:val="24"/>
        </w:rPr>
        <w:t>。藻类多糖在抵抗病毒入侵、增强机体免疫能力和抗氧化能力方面发挥重要作用</w:t>
      </w:r>
      <w:r>
        <w:rPr>
          <w:sz w:val="24"/>
          <w:vertAlign w:val="superscript"/>
        </w:rPr>
        <w:t>[</w:t>
      </w:r>
      <w:r>
        <w:fldChar w:fldCharType="begin"/>
      </w:r>
      <w:r>
        <w:instrText xml:space="preserve"> HYPERLINK \l "bookmark140" </w:instrText>
      </w:r>
      <w:r>
        <w:fldChar w:fldCharType="separate"/>
      </w:r>
      <w:r>
        <w:rPr>
          <w:sz w:val="24"/>
          <w:vertAlign w:val="superscript"/>
        </w:rPr>
        <w:t>45</w:t>
      </w:r>
      <w:r>
        <w:rPr>
          <w:sz w:val="24"/>
          <w:vertAlign w:val="superscript"/>
        </w:rPr>
        <w:fldChar w:fldCharType="end"/>
      </w:r>
      <w:r>
        <w:rPr>
          <w:sz w:val="24"/>
          <w:vertAlign w:val="superscript"/>
        </w:rPr>
        <w:t>]</w:t>
      </w:r>
      <w:r>
        <w:rPr>
          <w:sz w:val="24"/>
        </w:rPr>
        <w:t>。本研究发现</w:t>
      </w:r>
      <w:r>
        <w:rPr>
          <w:rFonts w:hint="eastAsia"/>
          <w:sz w:val="24"/>
        </w:rPr>
        <w:t>，</w:t>
      </w:r>
      <w:r>
        <w:rPr>
          <w:sz w:val="24"/>
        </w:rPr>
        <w:t>疣微菌门的丰度在所有处理组中最高</w:t>
      </w:r>
      <w:r>
        <w:rPr>
          <w:rFonts w:hint="eastAsia"/>
          <w:sz w:val="24"/>
        </w:rPr>
        <w:t>，</w:t>
      </w:r>
      <w:r>
        <w:rPr>
          <w:sz w:val="24"/>
        </w:rPr>
        <w:t>且显著高于CV100处理组</w:t>
      </w:r>
      <w:r>
        <w:rPr>
          <w:rFonts w:hint="eastAsia"/>
          <w:sz w:val="24"/>
        </w:rPr>
        <w:t>，</w:t>
      </w:r>
      <w:r>
        <w:rPr>
          <w:sz w:val="24"/>
        </w:rPr>
        <w:t>而CV50处理组鱼体健康状况最佳和抗氧化能力最强</w:t>
      </w:r>
      <w:r>
        <w:rPr>
          <w:rFonts w:hint="eastAsia"/>
          <w:sz w:val="24"/>
        </w:rPr>
        <w:t>，可能</w:t>
      </w:r>
      <w:r>
        <w:rPr>
          <w:sz w:val="24"/>
        </w:rPr>
        <w:t>与肠道疣微菌门丰度增加导致鱼体对藻多糖的消化利用增多密切相关。一项关于健康与患病凡纳滨对虾肠道菌群分析的研究表明</w:t>
      </w:r>
      <w:r>
        <w:rPr>
          <w:rFonts w:hint="eastAsia"/>
          <w:sz w:val="24"/>
        </w:rPr>
        <w:t>，</w:t>
      </w:r>
      <w:r>
        <w:rPr>
          <w:sz w:val="24"/>
        </w:rPr>
        <w:t>与患病凡纳滨对虾相比</w:t>
      </w:r>
      <w:r>
        <w:rPr>
          <w:rFonts w:hint="eastAsia"/>
          <w:sz w:val="24"/>
        </w:rPr>
        <w:t>，</w:t>
      </w:r>
      <w:r>
        <w:rPr>
          <w:sz w:val="24"/>
        </w:rPr>
        <w:t>疣微菌门丰度在健康凡纳滨对虾肠道中显著升高</w:t>
      </w:r>
      <w:r>
        <w:fldChar w:fldCharType="begin"/>
      </w:r>
      <w:r>
        <w:instrText xml:space="preserve"> HYPERLINK \l "bookmark142" </w:instrText>
      </w:r>
      <w:r>
        <w:fldChar w:fldCharType="separate"/>
      </w:r>
      <w:r>
        <w:rPr>
          <w:sz w:val="24"/>
          <w:vertAlign w:val="superscript"/>
        </w:rPr>
        <w:t>[</w:t>
      </w:r>
      <w:r>
        <w:rPr>
          <w:sz w:val="24"/>
          <w:vertAlign w:val="superscript"/>
        </w:rPr>
        <w:fldChar w:fldCharType="end"/>
      </w:r>
      <w:r>
        <w:fldChar w:fldCharType="begin"/>
      </w:r>
      <w:r>
        <w:instrText xml:space="preserve"> HYPERLINK \l "bookmark141" </w:instrText>
      </w:r>
      <w:r>
        <w:fldChar w:fldCharType="separate"/>
      </w:r>
      <w:r>
        <w:rPr>
          <w:sz w:val="24"/>
          <w:vertAlign w:val="superscript"/>
        </w:rPr>
        <w:t>46</w:t>
      </w:r>
      <w:r>
        <w:rPr>
          <w:sz w:val="24"/>
          <w:vertAlign w:val="superscript"/>
        </w:rPr>
        <w:fldChar w:fldCharType="end"/>
      </w:r>
      <w:r>
        <w:rPr>
          <w:sz w:val="24"/>
          <w:vertAlign w:val="superscript"/>
        </w:rPr>
        <w:t>]</w:t>
      </w:r>
      <w:r>
        <w:rPr>
          <w:rFonts w:hint="eastAsia"/>
          <w:sz w:val="24"/>
        </w:rPr>
        <w:t>，</w:t>
      </w:r>
      <w:r>
        <w:rPr>
          <w:sz w:val="24"/>
        </w:rPr>
        <w:t>这一结果进一步支持了本研究所提及的CV50组鱼体健康状况最佳和抗氧化能力最强与肠道疣微菌门丰度增加有关。</w:t>
      </w:r>
    </w:p>
    <w:p w14:paraId="352D3127">
      <w:pPr>
        <w:spacing w:line="360" w:lineRule="auto"/>
        <w:rPr>
          <w:sz w:val="24"/>
        </w:rPr>
      </w:pPr>
      <w:r>
        <w:rPr>
          <w:sz w:val="24"/>
        </w:rPr>
        <w:t>4  结论</w:t>
      </w:r>
    </w:p>
    <w:p w14:paraId="21C372A5">
      <w:pPr>
        <w:spacing w:line="360" w:lineRule="auto"/>
        <w:ind w:firstLine="480" w:firstLineChars="200"/>
        <w:rPr>
          <w:sz w:val="24"/>
        </w:rPr>
      </w:pPr>
      <w:r>
        <w:rPr>
          <w:sz w:val="24"/>
        </w:rPr>
        <w:t>本研究表明</w:t>
      </w:r>
      <w:r>
        <w:rPr>
          <w:rFonts w:hint="eastAsia"/>
          <w:sz w:val="24"/>
        </w:rPr>
        <w:t>，</w:t>
      </w:r>
      <w:r>
        <w:rPr>
          <w:sz w:val="24"/>
        </w:rPr>
        <w:t>小球藻完全替代饲料中的豆粕后对框鳞镜鲤的生长性能和肌肉品质无负面影响</w:t>
      </w:r>
      <w:r>
        <w:rPr>
          <w:rFonts w:hint="eastAsia"/>
          <w:sz w:val="24"/>
        </w:rPr>
        <w:t>，</w:t>
      </w:r>
      <w:r>
        <w:rPr>
          <w:sz w:val="24"/>
        </w:rPr>
        <w:t>但完全替代后可偶见框鳞镜鲤肝脏组织中出现少许空泡化及细胞核迁移至细胞边缘</w:t>
      </w:r>
      <w:r>
        <w:rPr>
          <w:rFonts w:hint="eastAsia"/>
          <w:sz w:val="24"/>
        </w:rPr>
        <w:t>，</w:t>
      </w:r>
      <w:r>
        <w:rPr>
          <w:sz w:val="24"/>
        </w:rPr>
        <w:t>且肾小球肿大变形、肾小管结构紊乱及间质炎症浸润等明显的病理损伤</w:t>
      </w:r>
      <w:r>
        <w:rPr>
          <w:rFonts w:hint="eastAsia"/>
          <w:sz w:val="24"/>
        </w:rPr>
        <w:t>，</w:t>
      </w:r>
      <w:r>
        <w:rPr>
          <w:sz w:val="24"/>
        </w:rPr>
        <w:t>表明小球藻过量替代饲料豆粕会对框鳞镜鲤肝脏和肾脏组织的健康造成负面影响。从框鳞镜鲤的末重、增重率、特定生长率、饲料系数、蛋白沉积率和脂肪沉积率的二次回归分析结果来看</w:t>
      </w:r>
      <w:r>
        <w:rPr>
          <w:rFonts w:hint="eastAsia"/>
          <w:sz w:val="24"/>
        </w:rPr>
        <w:t>，</w:t>
      </w:r>
      <w:r>
        <w:rPr>
          <w:sz w:val="24"/>
        </w:rPr>
        <w:t>饲料中小球藻替代豆粕的最适比例分别为70.54%、59.32%、58. 14%、61.90%、59.75%和60.25%</w:t>
      </w:r>
      <w:r>
        <w:rPr>
          <w:rFonts w:hint="eastAsia"/>
          <w:sz w:val="24"/>
        </w:rPr>
        <w:t>，</w:t>
      </w:r>
      <w:r>
        <w:rPr>
          <w:sz w:val="24"/>
        </w:rPr>
        <w:t xml:space="preserve"> 相应的小球藻实际添加水平分别为17.49%、14.69%、14.42%、15.35%、14.82%和14.94%。因此</w:t>
      </w:r>
      <w:r>
        <w:rPr>
          <w:rFonts w:hint="eastAsia"/>
          <w:sz w:val="24"/>
        </w:rPr>
        <w:t>，</w:t>
      </w:r>
      <w:r>
        <w:rPr>
          <w:sz w:val="24"/>
        </w:rPr>
        <w:t>小球藻替代框鳞镜鲤饲料中豆粕的最适水平为58. 14%—70.54%。</w:t>
      </w:r>
    </w:p>
    <w:p w14:paraId="6211F6BC">
      <w:pPr>
        <w:rPr>
          <w:sz w:val="24"/>
        </w:rPr>
      </w:pPr>
      <w:r>
        <w:rPr>
          <w:rFonts w:hint="eastAsia" w:ascii="宋体" w:hAnsi="宋体" w:cs="宋体"/>
          <w:sz w:val="24"/>
        </w:rPr>
        <w:t>参考文献：略</w:t>
      </w:r>
    </w:p>
    <w:p w14:paraId="66337F7C">
      <w:pPr>
        <w:pStyle w:val="8"/>
        <w:spacing w:before="14" w:line="259" w:lineRule="auto"/>
        <w:ind w:firstLine="424"/>
        <w:jc w:val="right"/>
        <w:rPr>
          <w:rFonts w:eastAsia="宋体"/>
          <w:sz w:val="21"/>
          <w:szCs w:val="21"/>
          <w:lang w:eastAsia="zh-CN"/>
        </w:rPr>
      </w:pPr>
      <w:r>
        <w:rPr>
          <w:rFonts w:ascii="宋体" w:hAnsi="宋体" w:cs="宋体"/>
          <w:szCs w:val="21"/>
          <w:lang w:eastAsia="zh-CN"/>
        </w:rPr>
        <w:t>原文刊登在</w:t>
      </w:r>
      <w:r>
        <w:rPr>
          <w:rFonts w:eastAsia="宋体" w:cs="宋体"/>
          <w:lang w:eastAsia="zh-CN"/>
        </w:rPr>
        <w:t>《</w:t>
      </w:r>
      <w:r>
        <w:rPr>
          <w:rFonts w:hint="eastAsia" w:cs="宋体"/>
          <w:lang w:eastAsia="zh-CN"/>
        </w:rPr>
        <w:t>水生生物学报</w:t>
      </w:r>
      <w:r>
        <w:rPr>
          <w:rFonts w:eastAsia="宋体" w:cs="宋体"/>
          <w:lang w:eastAsia="zh-CN"/>
        </w:rPr>
        <w:t>》</w:t>
      </w:r>
      <w:r>
        <w:rPr>
          <w:rFonts w:hint="eastAsia" w:eastAsia="宋体" w:cs="宋体"/>
          <w:lang w:eastAsia="zh-CN"/>
        </w:rPr>
        <w:t>2026年第</w:t>
      </w:r>
      <w:r>
        <w:rPr>
          <w:rFonts w:hint="eastAsia" w:cs="宋体"/>
          <w:lang w:eastAsia="zh-CN"/>
        </w:rPr>
        <w:t>8</w:t>
      </w:r>
      <w:r>
        <w:rPr>
          <w:rFonts w:hint="eastAsia" w:eastAsia="宋体" w:cs="宋体"/>
          <w:lang w:eastAsia="zh-CN"/>
        </w:rPr>
        <w:t>期</w:t>
      </w:r>
    </w:p>
    <w:p w14:paraId="60AE952E">
      <w:pPr>
        <w:spacing w:line="360" w:lineRule="auto"/>
        <w:ind w:right="641"/>
        <w:outlineLvl w:val="0"/>
        <w:rPr>
          <w:rFonts w:eastAsia="黑体"/>
          <w:b/>
          <w:bCs/>
          <w:sz w:val="32"/>
          <w:szCs w:val="32"/>
          <w:bdr w:val="single" w:color="auto" w:sz="4" w:space="0"/>
        </w:rPr>
      </w:pPr>
    </w:p>
    <w:p w14:paraId="249DFD73">
      <w:pPr>
        <w:spacing w:line="360" w:lineRule="auto"/>
        <w:ind w:right="641"/>
        <w:outlineLvl w:val="0"/>
        <w:rPr>
          <w:rFonts w:eastAsia="黑体"/>
          <w:b/>
          <w:bCs/>
          <w:sz w:val="32"/>
          <w:szCs w:val="32"/>
          <w:bdr w:val="single" w:color="auto" w:sz="4" w:space="0"/>
        </w:rPr>
      </w:pPr>
      <w:bookmarkStart w:id="50" w:name="_Toc239088001"/>
      <w:r>
        <w:rPr>
          <w:rFonts w:eastAsia="黑体"/>
          <w:b/>
          <w:bCs/>
          <w:sz w:val="32"/>
          <w:szCs w:val="32"/>
          <w:bdr w:val="single" w:color="auto" w:sz="4" w:space="0"/>
        </w:rPr>
        <w:t>饲料研发</w:t>
      </w:r>
      <w:bookmarkEnd w:id="28"/>
      <w:bookmarkEnd w:id="29"/>
      <w:bookmarkEnd w:id="50"/>
    </w:p>
    <w:p w14:paraId="5C10E24B">
      <w:pPr>
        <w:spacing w:line="360" w:lineRule="auto"/>
        <w:jc w:val="center"/>
        <w:outlineLvl w:val="1"/>
        <w:rPr>
          <w:rFonts w:eastAsia="黑体"/>
          <w:b/>
          <w:bCs/>
          <w:sz w:val="32"/>
          <w:szCs w:val="32"/>
        </w:rPr>
      </w:pPr>
      <w:bookmarkStart w:id="51" w:name="_Toc239088002"/>
      <w:r>
        <w:rPr>
          <w:rFonts w:hint="eastAsia" w:ascii="黑体" w:hAnsi="黑体" w:eastAsia="黑体" w:cs="黑体"/>
          <w:b/>
          <w:bCs/>
          <w:sz w:val="32"/>
          <w:szCs w:val="32"/>
        </w:rPr>
        <w:t>饲料异亮氨酸水平对豹纹鳃棘鲈生长、摄食及脂代谢的影响</w:t>
      </w:r>
      <w:bookmarkEnd w:id="51"/>
    </w:p>
    <w:p w14:paraId="0EC635F5">
      <w:pPr>
        <w:jc w:val="center"/>
        <w:rPr>
          <w:rFonts w:cs="宋体"/>
          <w:szCs w:val="21"/>
        </w:rPr>
      </w:pPr>
      <w:r>
        <w:rPr>
          <w:rFonts w:hint="eastAsia" w:cs="宋体"/>
          <w:szCs w:val="21"/>
        </w:rPr>
        <w:t>王礼行</w:t>
      </w:r>
      <w:r>
        <w:rPr>
          <w:rFonts w:hint="eastAsia" w:cs="宋体"/>
          <w:szCs w:val="21"/>
          <w:vertAlign w:val="superscript"/>
        </w:rPr>
        <w:t>1, 2, 3</w:t>
      </w:r>
      <w:r>
        <w:rPr>
          <w:rFonts w:hint="eastAsia" w:cs="宋体"/>
          <w:szCs w:val="21"/>
        </w:rPr>
        <w:t xml:space="preserve"> 蔡亲晓</w:t>
      </w:r>
      <w:r>
        <w:rPr>
          <w:rFonts w:hint="eastAsia" w:cs="宋体"/>
          <w:szCs w:val="21"/>
          <w:vertAlign w:val="superscript"/>
        </w:rPr>
        <w:t>1, 2, 3</w:t>
      </w:r>
      <w:r>
        <w:rPr>
          <w:rFonts w:hint="eastAsia" w:cs="宋体"/>
          <w:szCs w:val="21"/>
        </w:rPr>
        <w:t xml:space="preserve">  冯霞</w:t>
      </w:r>
      <w:r>
        <w:rPr>
          <w:rFonts w:hint="eastAsia" w:cs="宋体"/>
          <w:szCs w:val="21"/>
          <w:vertAlign w:val="superscript"/>
        </w:rPr>
        <w:t>4</w:t>
      </w:r>
      <w:r>
        <w:rPr>
          <w:rFonts w:hint="eastAsia" w:cs="宋体"/>
          <w:szCs w:val="21"/>
        </w:rPr>
        <w:t xml:space="preserve"> 吴小易</w:t>
      </w:r>
      <w:r>
        <w:rPr>
          <w:rFonts w:hint="eastAsia" w:cs="宋体"/>
          <w:szCs w:val="21"/>
          <w:vertAlign w:val="superscript"/>
        </w:rPr>
        <w:t>1, 2, 3*</w:t>
      </w:r>
      <w:r>
        <w:rPr>
          <w:rFonts w:hint="eastAsia" w:cs="宋体"/>
          <w:szCs w:val="21"/>
        </w:rPr>
        <w:t xml:space="preserve"> 周智愚</w:t>
      </w:r>
      <w:r>
        <w:rPr>
          <w:rFonts w:hint="eastAsia" w:cs="宋体"/>
          <w:szCs w:val="21"/>
          <w:vertAlign w:val="superscript"/>
        </w:rPr>
        <w:t>1, 2, 3*</w:t>
      </w:r>
    </w:p>
    <w:p w14:paraId="6510C242">
      <w:pPr>
        <w:jc w:val="center"/>
        <w:rPr>
          <w:rFonts w:cs="宋体"/>
          <w:szCs w:val="21"/>
        </w:rPr>
      </w:pPr>
      <w:r>
        <w:rPr>
          <w:rFonts w:hint="eastAsia" w:cs="宋体"/>
          <w:szCs w:val="21"/>
        </w:rPr>
        <w:t>(1. 海南大学海洋生物与水产学院, 海口 570228; 2. 海南省热带水生生物技术研究重点实验室, 海口 570228; 3. 海南大学南海海洋国家资源与利用国家重点实验室, 海口 570228; 4. 海南大学网络空间安全学院, 海口 570228)</w:t>
      </w:r>
    </w:p>
    <w:p w14:paraId="4EF9380A">
      <w:r>
        <w:rPr>
          <w:rFonts w:hint="eastAsia"/>
          <w:b/>
          <w:bCs/>
        </w:rPr>
        <w:t>摘要：</w:t>
      </w:r>
      <w:r>
        <w:rPr>
          <w:rFonts w:hint="eastAsia"/>
        </w:rPr>
        <w:t>本研究旨在探究饲料异亮氨酸（Isoleucine, Ile）水平对豹纹鳃棘鲈（</w:t>
      </w:r>
      <w:r>
        <w:rPr>
          <w:rFonts w:hint="eastAsia"/>
          <w:i/>
          <w:iCs/>
        </w:rPr>
        <w:t>Plectropomus leopardus</w:t>
      </w:r>
      <w:r>
        <w:rPr>
          <w:rFonts w:hint="eastAsia"/>
        </w:rPr>
        <w:t>）生长、摄食及脂代谢的影响。实验设计了1.96%、2.11%、2.29%、2.40%、2.53%、2.68%和2.84%（占饲料干重）七种异亮氨酸水平饲料, 分别缩写为Ile1.96、Ile2.11、Ile2.29、Ile2.40、Ile2.53、Ile2.68和Ile2.84, 每个异亮氨酸水平组含3个重复。实验鱼初始体重为（34.93±0.27） g，15尾/重复，养殖9周。结果显示，Ile2.84组增重率（WGR）、每日摄食量（DFI）、特定生长率（SGR）和蛋白质效率（PER）显著低于其他组（</w:t>
      </w:r>
      <w:r>
        <w:rPr>
          <w:rFonts w:hint="eastAsia"/>
          <w:i/>
          <w:iCs/>
        </w:rPr>
        <w:t>P</w:t>
      </w:r>
      <w:r>
        <w:rPr>
          <w:rFonts w:hint="eastAsia"/>
        </w:rPr>
        <w:t>&lt;0.05），而饲料系数（FCR）显著高于其他组（</w:t>
      </w:r>
      <w:r>
        <w:rPr>
          <w:rFonts w:hint="eastAsia"/>
          <w:i/>
          <w:iCs/>
        </w:rPr>
        <w:t>P</w:t>
      </w:r>
      <w:r>
        <w:rPr>
          <w:rFonts w:hint="eastAsia"/>
        </w:rPr>
        <w:t>&lt;0.05）。以WGR为评价指标，经双斜率折线模型分析表明, 当饲料异亮氨酸水平超过2.68%时, 豹纹鳃棘鲈的生长出现下降。Ile2.84组肝体比（HSI）、肥满度（CF）及全鱼、肌肉、肝脏脂肪含量显著低于其他组（</w:t>
      </w:r>
      <w:r>
        <w:rPr>
          <w:rFonts w:hint="eastAsia"/>
          <w:i/>
          <w:iCs/>
        </w:rPr>
        <w:t>P</w:t>
      </w:r>
      <w:r>
        <w:rPr>
          <w:rFonts w:hint="eastAsia"/>
        </w:rPr>
        <w:t>&lt;0.05），血浆甘油三酯（TG）、总胆固醇（T-CHO）、低密度脂蛋白胆固醇（LDL-C）含量表现出类似变化趋势（</w:t>
      </w:r>
      <w:r>
        <w:rPr>
          <w:rFonts w:hint="eastAsia"/>
          <w:i/>
          <w:iCs/>
        </w:rPr>
        <w:t>P</w:t>
      </w:r>
      <w:r>
        <w:rPr>
          <w:rFonts w:hint="eastAsia"/>
        </w:rPr>
        <w:t>&lt;0.05），而高密度脂蛋白胆固醇（HDL-C）含量表现出相反变化趋势（</w:t>
      </w:r>
      <w:r>
        <w:rPr>
          <w:rFonts w:hint="eastAsia"/>
          <w:i/>
          <w:iCs/>
        </w:rPr>
        <w:t>P</w:t>
      </w:r>
      <w:r>
        <w:rPr>
          <w:rFonts w:hint="eastAsia"/>
        </w:rPr>
        <w:t>&lt;0.05） 。Ile2.84组脑组织促食欲基因npy及肠道组织抑食欲相关基因（</w:t>
      </w:r>
      <w:r>
        <w:rPr>
          <w:i/>
          <w:iCs/>
        </w:rPr>
        <w:t>t1r1</w:t>
      </w:r>
      <w:r>
        <w:rPr>
          <w:rFonts w:hint="eastAsia"/>
        </w:rPr>
        <w:t xml:space="preserve"> 、</w:t>
      </w:r>
      <w:r>
        <w:rPr>
          <w:i/>
          <w:iCs/>
        </w:rPr>
        <w:t>t1r3</w:t>
      </w:r>
      <w:r>
        <w:rPr>
          <w:rFonts w:hint="eastAsia"/>
        </w:rPr>
        <w:t xml:space="preserve"> 、</w:t>
      </w:r>
      <w:r>
        <w:rPr>
          <w:i/>
          <w:iCs/>
        </w:rPr>
        <w:t>cck</w:t>
      </w:r>
      <w:r>
        <w:rPr>
          <w:rFonts w:hint="eastAsia"/>
        </w:rPr>
        <w:t>）的表达水平显著高于其他组（</w:t>
      </w:r>
      <w:r>
        <w:rPr>
          <w:rFonts w:hint="eastAsia"/>
          <w:i/>
          <w:iCs/>
        </w:rPr>
        <w:t>P</w:t>
      </w:r>
      <w:r>
        <w:rPr>
          <w:rFonts w:hint="eastAsia"/>
        </w:rPr>
        <w:t>&lt;0.05）； 与其他组相比, Ile2.84组肝脏中脂肪分解相关基因（</w:t>
      </w:r>
      <w:r>
        <w:rPr>
          <w:i/>
          <w:iCs/>
        </w:rPr>
        <w:t>ampkα</w:t>
      </w:r>
      <w:r>
        <w:rPr>
          <w:rFonts w:hint="eastAsia"/>
        </w:rPr>
        <w:t>、</w:t>
      </w:r>
      <w:r>
        <w:rPr>
          <w:i/>
          <w:iCs/>
        </w:rPr>
        <w:t>pparα</w:t>
      </w:r>
      <w:r>
        <w:rPr>
          <w:rFonts w:hint="eastAsia"/>
        </w:rPr>
        <w:t xml:space="preserve"> 、</w:t>
      </w:r>
      <w:r>
        <w:rPr>
          <w:i/>
          <w:iCs/>
        </w:rPr>
        <w:t>cpt-1</w:t>
      </w:r>
      <w:r>
        <w:rPr>
          <w:rFonts w:hint="eastAsia"/>
        </w:rPr>
        <w:t>和</w:t>
      </w:r>
      <w:r>
        <w:rPr>
          <w:i/>
          <w:iCs/>
        </w:rPr>
        <w:t>hsl</w:t>
      </w:r>
      <w:r>
        <w:rPr>
          <w:rFonts w:hint="eastAsia"/>
        </w:rPr>
        <w:t>）的表达水平显著增加（</w:t>
      </w:r>
      <w:r>
        <w:rPr>
          <w:rFonts w:hint="eastAsia"/>
          <w:i/>
          <w:iCs/>
        </w:rPr>
        <w:t>P</w:t>
      </w:r>
      <w:r>
        <w:rPr>
          <w:rFonts w:hint="eastAsia"/>
        </w:rPr>
        <w:t>&lt;0.05）, 但脂肪合成相关基因（</w:t>
      </w:r>
      <w:r>
        <w:rPr>
          <w:i/>
          <w:iCs/>
        </w:rPr>
        <w:t>acc1α</w:t>
      </w:r>
      <w:r>
        <w:rPr>
          <w:rFonts w:hint="eastAsia"/>
        </w:rPr>
        <w:t>和</w:t>
      </w:r>
      <w:r>
        <w:rPr>
          <w:i/>
          <w:iCs/>
        </w:rPr>
        <w:t>fas</w:t>
      </w:r>
      <w:r>
        <w:rPr>
          <w:rFonts w:hint="eastAsia"/>
        </w:rPr>
        <w:t>）的表达水平显著降低（</w:t>
      </w:r>
      <w:r>
        <w:rPr>
          <w:rFonts w:hint="eastAsia"/>
          <w:i/>
          <w:iCs/>
        </w:rPr>
        <w:t>P</w:t>
      </w:r>
      <w:r>
        <w:rPr>
          <w:rFonts w:hint="eastAsia"/>
        </w:rPr>
        <w:t>&lt;0.05）。总之, 配合饲料中1.96%—2.68%的异亮氨酸水平（占饲料蛋白的3.80%—5.17%）能够满足豹纹鳃棘鲈生长的需求。</w:t>
      </w:r>
    </w:p>
    <w:p w14:paraId="49E7BE36">
      <w:r>
        <w:rPr>
          <w:rFonts w:hint="eastAsia"/>
          <w:b/>
          <w:bCs/>
        </w:rPr>
        <w:t>关键词：</w:t>
      </w:r>
      <w:r>
        <w:rPr>
          <w:rFonts w:hint="eastAsia"/>
        </w:rPr>
        <w:t>异亮氨酸；生长；摄食；脂代谢；豹纹鳃棘鲈</w:t>
      </w:r>
    </w:p>
    <w:p w14:paraId="5A78EAA4">
      <w:pPr>
        <w:jc w:val="center"/>
        <w:rPr>
          <w:b/>
          <w:bCs/>
          <w:sz w:val="24"/>
        </w:rPr>
      </w:pPr>
      <w:r>
        <w:rPr>
          <w:b/>
          <w:bCs/>
          <w:sz w:val="24"/>
        </w:rPr>
        <w:t>Dietary isoleucine levels on growth, feeding, and lipid</w:t>
      </w:r>
      <w:r>
        <w:rPr>
          <w:rFonts w:hint="eastAsia"/>
          <w:b/>
          <w:bCs/>
          <w:sz w:val="24"/>
        </w:rPr>
        <w:t xml:space="preserve"> </w:t>
      </w:r>
      <w:r>
        <w:rPr>
          <w:b/>
          <w:bCs/>
          <w:sz w:val="24"/>
        </w:rPr>
        <w:t>metabolism of leopard coral grouper</w:t>
      </w:r>
    </w:p>
    <w:p w14:paraId="6BCE8B4A">
      <w:pPr>
        <w:jc w:val="center"/>
        <w:rPr>
          <w:rFonts w:ascii="Arial"/>
        </w:rPr>
      </w:pPr>
      <w:r>
        <w:rPr>
          <w:b/>
          <w:bCs/>
          <w:sz w:val="24"/>
        </w:rPr>
        <w:t>(</w:t>
      </w:r>
      <w:r>
        <w:rPr>
          <w:b/>
          <w:bCs/>
          <w:i/>
          <w:iCs/>
          <w:sz w:val="24"/>
        </w:rPr>
        <w:t xml:space="preserve">Plectropomus </w:t>
      </w:r>
      <w:r>
        <w:rPr>
          <w:rFonts w:hint="eastAsia"/>
          <w:b/>
          <w:bCs/>
          <w:i/>
          <w:iCs/>
          <w:sz w:val="24"/>
        </w:rPr>
        <w:t>l</w:t>
      </w:r>
      <w:r>
        <w:rPr>
          <w:b/>
          <w:bCs/>
          <w:i/>
          <w:iCs/>
          <w:sz w:val="24"/>
        </w:rPr>
        <w:t>eopardus</w:t>
      </w:r>
      <w:r>
        <w:rPr>
          <w:b/>
          <w:bCs/>
          <w:sz w:val="24"/>
        </w:rPr>
        <w:t>)</w:t>
      </w:r>
    </w:p>
    <w:p w14:paraId="6DC27D6E">
      <w:pPr>
        <w:spacing w:before="58" w:line="296" w:lineRule="exact"/>
        <w:ind w:left="1067"/>
        <w:rPr>
          <w:rFonts w:eastAsia="Times New Roman"/>
          <w:sz w:val="12"/>
          <w:szCs w:val="12"/>
        </w:rPr>
      </w:pPr>
      <w:r>
        <w:rPr>
          <w:rFonts w:eastAsia="Times New Roman"/>
          <w:position w:val="2"/>
          <w:sz w:val="20"/>
          <w:szCs w:val="20"/>
        </w:rPr>
        <w:t>Wang Li-Xing</w:t>
      </w:r>
      <w:r>
        <w:rPr>
          <w:rFonts w:eastAsia="Times New Roman"/>
          <w:position w:val="12"/>
          <w:sz w:val="12"/>
          <w:szCs w:val="12"/>
        </w:rPr>
        <w:t>1, 2, 3</w:t>
      </w:r>
      <w:r>
        <w:rPr>
          <w:rFonts w:eastAsia="Times New Roman"/>
          <w:position w:val="2"/>
          <w:sz w:val="20"/>
          <w:szCs w:val="20"/>
        </w:rPr>
        <w:t>, Cai Qin-Xiao</w:t>
      </w:r>
      <w:r>
        <w:rPr>
          <w:rFonts w:eastAsia="Times New Roman"/>
          <w:position w:val="12"/>
          <w:sz w:val="12"/>
          <w:szCs w:val="12"/>
        </w:rPr>
        <w:t>1,</w:t>
      </w:r>
      <w:r>
        <w:rPr>
          <w:rFonts w:eastAsia="Times New Roman"/>
          <w:spacing w:val="2"/>
          <w:position w:val="12"/>
          <w:sz w:val="12"/>
          <w:szCs w:val="12"/>
        </w:rPr>
        <w:t xml:space="preserve"> </w:t>
      </w:r>
      <w:r>
        <w:rPr>
          <w:rFonts w:eastAsia="Times New Roman"/>
          <w:position w:val="12"/>
          <w:sz w:val="12"/>
          <w:szCs w:val="12"/>
        </w:rPr>
        <w:t>2,</w:t>
      </w:r>
      <w:r>
        <w:rPr>
          <w:rFonts w:eastAsia="Times New Roman"/>
          <w:spacing w:val="5"/>
          <w:position w:val="12"/>
          <w:sz w:val="12"/>
          <w:szCs w:val="12"/>
        </w:rPr>
        <w:t xml:space="preserve"> </w:t>
      </w:r>
      <w:r>
        <w:rPr>
          <w:rFonts w:eastAsia="Times New Roman"/>
          <w:position w:val="12"/>
          <w:sz w:val="12"/>
          <w:szCs w:val="12"/>
        </w:rPr>
        <w:t>3</w:t>
      </w:r>
      <w:r>
        <w:rPr>
          <w:rFonts w:eastAsia="Times New Roman"/>
          <w:position w:val="2"/>
          <w:sz w:val="20"/>
          <w:szCs w:val="20"/>
        </w:rPr>
        <w:t>, Feng Xia</w:t>
      </w:r>
      <w:r>
        <w:rPr>
          <w:rFonts w:eastAsia="Times New Roman"/>
          <w:position w:val="12"/>
          <w:sz w:val="12"/>
          <w:szCs w:val="12"/>
        </w:rPr>
        <w:t>4</w:t>
      </w:r>
      <w:r>
        <w:rPr>
          <w:rFonts w:eastAsia="Times New Roman"/>
          <w:position w:val="2"/>
          <w:sz w:val="20"/>
          <w:szCs w:val="20"/>
        </w:rPr>
        <w:t>, Wu</w:t>
      </w:r>
      <w:r>
        <w:rPr>
          <w:rFonts w:eastAsia="Times New Roman"/>
          <w:spacing w:val="-1"/>
          <w:position w:val="2"/>
          <w:sz w:val="20"/>
          <w:szCs w:val="20"/>
        </w:rPr>
        <w:t xml:space="preserve"> Xiao-Yi</w:t>
      </w:r>
      <w:r>
        <w:rPr>
          <w:rFonts w:eastAsia="Times New Roman"/>
          <w:spacing w:val="-1"/>
          <w:position w:val="12"/>
          <w:sz w:val="12"/>
          <w:szCs w:val="12"/>
        </w:rPr>
        <w:t>1,</w:t>
      </w:r>
      <w:r>
        <w:rPr>
          <w:rFonts w:eastAsia="Times New Roman"/>
          <w:spacing w:val="3"/>
          <w:position w:val="12"/>
          <w:sz w:val="12"/>
          <w:szCs w:val="12"/>
        </w:rPr>
        <w:t xml:space="preserve"> </w:t>
      </w:r>
      <w:r>
        <w:rPr>
          <w:rFonts w:eastAsia="Times New Roman"/>
          <w:spacing w:val="-1"/>
          <w:position w:val="12"/>
          <w:sz w:val="12"/>
          <w:szCs w:val="12"/>
        </w:rPr>
        <w:t>2,</w:t>
      </w:r>
      <w:r>
        <w:rPr>
          <w:rFonts w:eastAsia="Times New Roman"/>
          <w:spacing w:val="5"/>
          <w:position w:val="12"/>
          <w:sz w:val="12"/>
          <w:szCs w:val="12"/>
        </w:rPr>
        <w:t xml:space="preserve"> </w:t>
      </w:r>
      <w:r>
        <w:rPr>
          <w:rFonts w:eastAsia="Times New Roman"/>
          <w:spacing w:val="-1"/>
          <w:position w:val="12"/>
          <w:sz w:val="12"/>
          <w:szCs w:val="12"/>
        </w:rPr>
        <w:t>3</w:t>
      </w:r>
      <w:r>
        <w:rPr>
          <w:rFonts w:hint="eastAsia"/>
          <w:spacing w:val="-1"/>
          <w:position w:val="12"/>
          <w:sz w:val="12"/>
          <w:szCs w:val="12"/>
        </w:rPr>
        <w:t>,</w:t>
      </w:r>
      <w:r>
        <w:rPr>
          <w:rFonts w:eastAsia="Times New Roman"/>
          <w:spacing w:val="-1"/>
          <w:position w:val="12"/>
          <w:sz w:val="12"/>
          <w:szCs w:val="12"/>
        </w:rPr>
        <w:t xml:space="preserve"> </w:t>
      </w:r>
      <w:r>
        <w:rPr>
          <w:rFonts w:eastAsia="Times New Roman"/>
          <w:spacing w:val="-1"/>
          <w:position w:val="2"/>
          <w:sz w:val="20"/>
          <w:szCs w:val="20"/>
        </w:rPr>
        <w:t>and Zhou Zhi-Yu</w:t>
      </w:r>
      <w:r>
        <w:rPr>
          <w:rFonts w:eastAsia="Times New Roman"/>
          <w:spacing w:val="-1"/>
          <w:position w:val="12"/>
          <w:sz w:val="12"/>
          <w:szCs w:val="12"/>
        </w:rPr>
        <w:t>1,</w:t>
      </w:r>
      <w:r>
        <w:rPr>
          <w:rFonts w:eastAsia="Times New Roman"/>
          <w:spacing w:val="2"/>
          <w:position w:val="12"/>
          <w:sz w:val="12"/>
          <w:szCs w:val="12"/>
        </w:rPr>
        <w:t xml:space="preserve"> </w:t>
      </w:r>
      <w:r>
        <w:rPr>
          <w:rFonts w:eastAsia="Times New Roman"/>
          <w:spacing w:val="-1"/>
          <w:position w:val="12"/>
          <w:sz w:val="12"/>
          <w:szCs w:val="12"/>
        </w:rPr>
        <w:t>2,</w:t>
      </w:r>
      <w:r>
        <w:rPr>
          <w:rFonts w:eastAsia="Times New Roman"/>
          <w:spacing w:val="5"/>
          <w:position w:val="12"/>
          <w:sz w:val="12"/>
          <w:szCs w:val="12"/>
        </w:rPr>
        <w:t xml:space="preserve"> </w:t>
      </w:r>
      <w:r>
        <w:rPr>
          <w:rFonts w:eastAsia="Times New Roman"/>
          <w:spacing w:val="-1"/>
          <w:position w:val="12"/>
          <w:sz w:val="12"/>
          <w:szCs w:val="12"/>
        </w:rPr>
        <w:t>3</w:t>
      </w:r>
    </w:p>
    <w:p w14:paraId="5952E65C">
      <w:pPr>
        <w:spacing w:before="78" w:line="229" w:lineRule="exact"/>
        <w:ind w:left="152"/>
        <w:rPr>
          <w:rFonts w:eastAsia="Times New Roman"/>
          <w:sz w:val="18"/>
          <w:szCs w:val="18"/>
        </w:rPr>
      </w:pPr>
      <w:r>
        <w:rPr>
          <w:rFonts w:eastAsia="Times New Roman"/>
          <w:spacing w:val="2"/>
          <w:position w:val="3"/>
          <w:sz w:val="18"/>
          <w:szCs w:val="18"/>
        </w:rPr>
        <w:t xml:space="preserve">(1. </w:t>
      </w:r>
      <w:r>
        <w:rPr>
          <w:rFonts w:eastAsia="Times New Roman"/>
          <w:position w:val="3"/>
          <w:sz w:val="18"/>
          <w:szCs w:val="18"/>
        </w:rPr>
        <w:t>School</w:t>
      </w:r>
      <w:r>
        <w:rPr>
          <w:rFonts w:eastAsia="Times New Roman"/>
          <w:spacing w:val="2"/>
          <w:position w:val="3"/>
          <w:sz w:val="18"/>
          <w:szCs w:val="18"/>
        </w:rPr>
        <w:t xml:space="preserve"> </w:t>
      </w:r>
      <w:r>
        <w:rPr>
          <w:rFonts w:eastAsia="Times New Roman"/>
          <w:position w:val="3"/>
          <w:sz w:val="18"/>
          <w:szCs w:val="18"/>
        </w:rPr>
        <w:t>of</w:t>
      </w:r>
      <w:r>
        <w:rPr>
          <w:rFonts w:eastAsia="Times New Roman"/>
          <w:spacing w:val="-41"/>
          <w:position w:val="3"/>
          <w:sz w:val="18"/>
          <w:szCs w:val="18"/>
        </w:rPr>
        <w:t xml:space="preserve"> </w:t>
      </w:r>
      <w:r>
        <w:rPr>
          <w:rFonts w:eastAsia="Times New Roman"/>
          <w:position w:val="3"/>
          <w:sz w:val="18"/>
          <w:szCs w:val="18"/>
        </w:rPr>
        <w:t>Marine</w:t>
      </w:r>
      <w:r>
        <w:rPr>
          <w:rFonts w:eastAsia="Times New Roman"/>
          <w:spacing w:val="2"/>
          <w:position w:val="3"/>
          <w:sz w:val="18"/>
          <w:szCs w:val="18"/>
        </w:rPr>
        <w:t xml:space="preserve"> </w:t>
      </w:r>
      <w:r>
        <w:rPr>
          <w:rFonts w:eastAsia="Times New Roman"/>
          <w:position w:val="3"/>
          <w:sz w:val="18"/>
          <w:szCs w:val="18"/>
        </w:rPr>
        <w:t>Biology</w:t>
      </w:r>
      <w:r>
        <w:rPr>
          <w:rFonts w:eastAsia="Times New Roman"/>
          <w:spacing w:val="2"/>
          <w:position w:val="3"/>
          <w:sz w:val="18"/>
          <w:szCs w:val="18"/>
        </w:rPr>
        <w:t xml:space="preserve"> </w:t>
      </w:r>
      <w:r>
        <w:rPr>
          <w:rFonts w:eastAsia="Times New Roman"/>
          <w:position w:val="3"/>
          <w:sz w:val="18"/>
          <w:szCs w:val="18"/>
        </w:rPr>
        <w:t>and</w:t>
      </w:r>
      <w:r>
        <w:rPr>
          <w:rFonts w:eastAsia="Times New Roman"/>
          <w:spacing w:val="-11"/>
          <w:position w:val="3"/>
          <w:sz w:val="18"/>
          <w:szCs w:val="18"/>
        </w:rPr>
        <w:t xml:space="preserve"> </w:t>
      </w:r>
      <w:r>
        <w:rPr>
          <w:rFonts w:eastAsia="Times New Roman"/>
          <w:position w:val="3"/>
          <w:sz w:val="18"/>
          <w:szCs w:val="18"/>
        </w:rPr>
        <w:t>Fisheries</w:t>
      </w:r>
      <w:r>
        <w:rPr>
          <w:rFonts w:eastAsia="Times New Roman"/>
          <w:spacing w:val="2"/>
          <w:position w:val="3"/>
          <w:sz w:val="18"/>
          <w:szCs w:val="18"/>
        </w:rPr>
        <w:t xml:space="preserve">, </w:t>
      </w:r>
      <w:r>
        <w:rPr>
          <w:rFonts w:eastAsia="Times New Roman"/>
          <w:position w:val="3"/>
          <w:sz w:val="18"/>
          <w:szCs w:val="18"/>
        </w:rPr>
        <w:t>Hainan</w:t>
      </w:r>
      <w:r>
        <w:rPr>
          <w:rFonts w:eastAsia="Times New Roman"/>
          <w:spacing w:val="19"/>
          <w:w w:val="101"/>
          <w:position w:val="3"/>
          <w:sz w:val="18"/>
          <w:szCs w:val="18"/>
        </w:rPr>
        <w:t xml:space="preserve"> </w:t>
      </w:r>
      <w:r>
        <w:rPr>
          <w:rFonts w:eastAsia="Times New Roman"/>
          <w:position w:val="3"/>
          <w:sz w:val="18"/>
          <w:szCs w:val="18"/>
        </w:rPr>
        <w:t>University</w:t>
      </w:r>
      <w:r>
        <w:rPr>
          <w:rFonts w:eastAsia="Times New Roman"/>
          <w:spacing w:val="2"/>
          <w:position w:val="3"/>
          <w:sz w:val="18"/>
          <w:szCs w:val="18"/>
        </w:rPr>
        <w:t xml:space="preserve">, </w:t>
      </w:r>
      <w:r>
        <w:rPr>
          <w:rFonts w:eastAsia="Times New Roman"/>
          <w:position w:val="3"/>
          <w:sz w:val="18"/>
          <w:szCs w:val="18"/>
        </w:rPr>
        <w:t>Haikou</w:t>
      </w:r>
      <w:r>
        <w:rPr>
          <w:rFonts w:eastAsia="Times New Roman"/>
          <w:spacing w:val="2"/>
          <w:position w:val="3"/>
          <w:sz w:val="18"/>
          <w:szCs w:val="18"/>
        </w:rPr>
        <w:t xml:space="preserve"> 570228,</w:t>
      </w:r>
      <w:r>
        <w:rPr>
          <w:rFonts w:eastAsia="Times New Roman"/>
          <w:spacing w:val="12"/>
          <w:position w:val="3"/>
          <w:sz w:val="18"/>
          <w:szCs w:val="18"/>
        </w:rPr>
        <w:t xml:space="preserve"> </w:t>
      </w:r>
      <w:r>
        <w:rPr>
          <w:rFonts w:eastAsia="Times New Roman"/>
          <w:position w:val="3"/>
          <w:sz w:val="18"/>
          <w:szCs w:val="18"/>
        </w:rPr>
        <w:t>China</w:t>
      </w:r>
      <w:r>
        <w:rPr>
          <w:rFonts w:eastAsia="Times New Roman"/>
          <w:spacing w:val="2"/>
          <w:position w:val="3"/>
          <w:sz w:val="18"/>
          <w:szCs w:val="18"/>
        </w:rPr>
        <w:t>; 2</w:t>
      </w:r>
      <w:r>
        <w:rPr>
          <w:rFonts w:eastAsia="Times New Roman"/>
          <w:spacing w:val="1"/>
          <w:position w:val="3"/>
          <w:sz w:val="18"/>
          <w:szCs w:val="18"/>
        </w:rPr>
        <w:t xml:space="preserve">. </w:t>
      </w:r>
      <w:r>
        <w:rPr>
          <w:rFonts w:eastAsia="Times New Roman"/>
          <w:position w:val="3"/>
          <w:sz w:val="18"/>
          <w:szCs w:val="18"/>
        </w:rPr>
        <w:t>Hainan</w:t>
      </w:r>
      <w:r>
        <w:rPr>
          <w:rFonts w:eastAsia="Times New Roman"/>
          <w:spacing w:val="1"/>
          <w:position w:val="3"/>
          <w:sz w:val="18"/>
          <w:szCs w:val="18"/>
        </w:rPr>
        <w:t xml:space="preserve"> </w:t>
      </w:r>
      <w:r>
        <w:rPr>
          <w:rFonts w:eastAsia="Times New Roman"/>
          <w:position w:val="3"/>
          <w:sz w:val="18"/>
          <w:szCs w:val="18"/>
        </w:rPr>
        <w:t>Provincial</w:t>
      </w:r>
      <w:r>
        <w:rPr>
          <w:rFonts w:eastAsia="Times New Roman"/>
          <w:spacing w:val="-9"/>
          <w:position w:val="3"/>
          <w:sz w:val="18"/>
          <w:szCs w:val="18"/>
        </w:rPr>
        <w:t xml:space="preserve"> </w:t>
      </w:r>
      <w:r>
        <w:rPr>
          <w:rFonts w:eastAsia="Times New Roman"/>
          <w:position w:val="3"/>
          <w:sz w:val="18"/>
          <w:szCs w:val="18"/>
        </w:rPr>
        <w:t>Key</w:t>
      </w:r>
      <w:r>
        <w:rPr>
          <w:rFonts w:eastAsia="Times New Roman"/>
          <w:spacing w:val="1"/>
          <w:position w:val="3"/>
          <w:sz w:val="18"/>
          <w:szCs w:val="18"/>
        </w:rPr>
        <w:t xml:space="preserve"> </w:t>
      </w:r>
      <w:r>
        <w:rPr>
          <w:rFonts w:eastAsia="Times New Roman"/>
          <w:position w:val="3"/>
          <w:sz w:val="18"/>
          <w:szCs w:val="18"/>
        </w:rPr>
        <w:t>Laboratory</w:t>
      </w:r>
      <w:r>
        <w:rPr>
          <w:rFonts w:eastAsia="Times New Roman"/>
          <w:spacing w:val="-31"/>
          <w:position w:val="3"/>
          <w:sz w:val="18"/>
          <w:szCs w:val="18"/>
        </w:rPr>
        <w:t xml:space="preserve"> </w:t>
      </w:r>
      <w:r>
        <w:rPr>
          <w:rFonts w:eastAsia="Times New Roman"/>
          <w:position w:val="3"/>
          <w:sz w:val="18"/>
          <w:szCs w:val="18"/>
        </w:rPr>
        <w:t>for</w:t>
      </w:r>
    </w:p>
    <w:p w14:paraId="5C5C4BEF">
      <w:pPr>
        <w:spacing w:line="220" w:lineRule="exact"/>
        <w:ind w:left="782"/>
        <w:rPr>
          <w:rFonts w:eastAsia="Times New Roman"/>
          <w:sz w:val="18"/>
          <w:szCs w:val="18"/>
        </w:rPr>
      </w:pPr>
      <w:r>
        <w:rPr>
          <w:rFonts w:eastAsia="Times New Roman"/>
          <w:position w:val="2"/>
          <w:sz w:val="18"/>
          <w:szCs w:val="18"/>
        </w:rPr>
        <w:t>Tropical Hydrobiology</w:t>
      </w:r>
      <w:r>
        <w:rPr>
          <w:rFonts w:eastAsia="Times New Roman"/>
          <w:spacing w:val="1"/>
          <w:position w:val="2"/>
          <w:sz w:val="18"/>
          <w:szCs w:val="18"/>
        </w:rPr>
        <w:t xml:space="preserve"> </w:t>
      </w:r>
      <w:r>
        <w:rPr>
          <w:rFonts w:eastAsia="Times New Roman"/>
          <w:position w:val="2"/>
          <w:sz w:val="18"/>
          <w:szCs w:val="18"/>
        </w:rPr>
        <w:t>and</w:t>
      </w:r>
      <w:r>
        <w:rPr>
          <w:rFonts w:eastAsia="Times New Roman"/>
          <w:spacing w:val="-11"/>
          <w:position w:val="2"/>
          <w:sz w:val="18"/>
          <w:szCs w:val="18"/>
        </w:rPr>
        <w:t xml:space="preserve"> </w:t>
      </w:r>
      <w:r>
        <w:rPr>
          <w:rFonts w:eastAsia="Times New Roman"/>
          <w:position w:val="2"/>
          <w:sz w:val="18"/>
          <w:szCs w:val="18"/>
        </w:rPr>
        <w:t>Biotechnology</w:t>
      </w:r>
      <w:r>
        <w:rPr>
          <w:rFonts w:eastAsia="Times New Roman"/>
          <w:spacing w:val="1"/>
          <w:position w:val="2"/>
          <w:sz w:val="18"/>
          <w:szCs w:val="18"/>
        </w:rPr>
        <w:t xml:space="preserve">, </w:t>
      </w:r>
      <w:r>
        <w:rPr>
          <w:rFonts w:eastAsia="Times New Roman"/>
          <w:position w:val="2"/>
          <w:sz w:val="18"/>
          <w:szCs w:val="18"/>
        </w:rPr>
        <w:t>Haikou</w:t>
      </w:r>
      <w:r>
        <w:rPr>
          <w:rFonts w:eastAsia="Times New Roman"/>
          <w:spacing w:val="1"/>
          <w:position w:val="2"/>
          <w:sz w:val="18"/>
          <w:szCs w:val="18"/>
        </w:rPr>
        <w:t xml:space="preserve"> 570228,</w:t>
      </w:r>
      <w:r>
        <w:rPr>
          <w:rFonts w:eastAsia="Times New Roman"/>
          <w:spacing w:val="12"/>
          <w:w w:val="101"/>
          <w:position w:val="2"/>
          <w:sz w:val="18"/>
          <w:szCs w:val="18"/>
        </w:rPr>
        <w:t xml:space="preserve"> </w:t>
      </w:r>
      <w:r>
        <w:rPr>
          <w:rFonts w:eastAsia="Times New Roman"/>
          <w:position w:val="2"/>
          <w:sz w:val="18"/>
          <w:szCs w:val="18"/>
        </w:rPr>
        <w:t>China</w:t>
      </w:r>
      <w:r>
        <w:rPr>
          <w:rFonts w:eastAsia="Times New Roman"/>
          <w:spacing w:val="1"/>
          <w:position w:val="2"/>
          <w:sz w:val="18"/>
          <w:szCs w:val="18"/>
        </w:rPr>
        <w:t xml:space="preserve">; 3. </w:t>
      </w:r>
      <w:r>
        <w:rPr>
          <w:rFonts w:eastAsia="Times New Roman"/>
          <w:position w:val="2"/>
          <w:sz w:val="18"/>
          <w:szCs w:val="18"/>
        </w:rPr>
        <w:t>State</w:t>
      </w:r>
      <w:r>
        <w:rPr>
          <w:rFonts w:eastAsia="Times New Roman"/>
          <w:spacing w:val="1"/>
          <w:position w:val="2"/>
          <w:sz w:val="18"/>
          <w:szCs w:val="18"/>
        </w:rPr>
        <w:t xml:space="preserve"> </w:t>
      </w:r>
      <w:r>
        <w:rPr>
          <w:rFonts w:eastAsia="Times New Roman"/>
          <w:position w:val="2"/>
          <w:sz w:val="18"/>
          <w:szCs w:val="18"/>
        </w:rPr>
        <w:t>Key</w:t>
      </w:r>
      <w:r>
        <w:rPr>
          <w:rFonts w:eastAsia="Times New Roman"/>
          <w:spacing w:val="1"/>
          <w:position w:val="2"/>
          <w:sz w:val="18"/>
          <w:szCs w:val="18"/>
        </w:rPr>
        <w:t xml:space="preserve"> </w:t>
      </w:r>
      <w:r>
        <w:rPr>
          <w:rFonts w:eastAsia="Times New Roman"/>
          <w:position w:val="2"/>
          <w:sz w:val="18"/>
          <w:szCs w:val="18"/>
        </w:rPr>
        <w:t>Laboratory</w:t>
      </w:r>
      <w:r>
        <w:rPr>
          <w:rFonts w:eastAsia="Times New Roman"/>
          <w:spacing w:val="1"/>
          <w:position w:val="2"/>
          <w:sz w:val="18"/>
          <w:szCs w:val="18"/>
        </w:rPr>
        <w:t xml:space="preserve"> </w:t>
      </w:r>
      <w:r>
        <w:rPr>
          <w:rFonts w:eastAsia="Times New Roman"/>
          <w:position w:val="2"/>
          <w:sz w:val="18"/>
          <w:szCs w:val="18"/>
        </w:rPr>
        <w:t>of</w:t>
      </w:r>
      <w:r>
        <w:rPr>
          <w:rFonts w:eastAsia="Times New Roman"/>
          <w:spacing w:val="-41"/>
          <w:position w:val="2"/>
          <w:sz w:val="18"/>
          <w:szCs w:val="18"/>
        </w:rPr>
        <w:t xml:space="preserve"> </w:t>
      </w:r>
      <w:r>
        <w:rPr>
          <w:rFonts w:eastAsia="Times New Roman"/>
          <w:position w:val="2"/>
          <w:sz w:val="18"/>
          <w:szCs w:val="18"/>
        </w:rPr>
        <w:t>Marine</w:t>
      </w:r>
      <w:r>
        <w:rPr>
          <w:rFonts w:eastAsia="Times New Roman"/>
          <w:spacing w:val="1"/>
          <w:position w:val="2"/>
          <w:sz w:val="18"/>
          <w:szCs w:val="18"/>
        </w:rPr>
        <w:t xml:space="preserve"> </w:t>
      </w:r>
      <w:r>
        <w:rPr>
          <w:rFonts w:eastAsia="Times New Roman"/>
          <w:position w:val="2"/>
          <w:sz w:val="18"/>
          <w:szCs w:val="18"/>
        </w:rPr>
        <w:t>Resource</w:t>
      </w:r>
    </w:p>
    <w:p w14:paraId="5BD9FAF8">
      <w:pPr>
        <w:spacing w:line="222" w:lineRule="exact"/>
        <w:ind w:left="604"/>
        <w:rPr>
          <w:rFonts w:eastAsia="Times New Roman"/>
          <w:sz w:val="18"/>
          <w:szCs w:val="18"/>
        </w:rPr>
      </w:pPr>
      <w:r>
        <w:rPr>
          <w:rFonts w:eastAsia="Times New Roman"/>
          <w:position w:val="2"/>
          <w:sz w:val="18"/>
          <w:szCs w:val="18"/>
        </w:rPr>
        <w:t xml:space="preserve">Utilization in </w:t>
      </w:r>
      <w:r>
        <w:rPr>
          <w:rFonts w:hint="eastAsia"/>
          <w:position w:val="2"/>
          <w:sz w:val="18"/>
          <w:szCs w:val="18"/>
        </w:rPr>
        <w:t>the South</w:t>
      </w:r>
      <w:r>
        <w:rPr>
          <w:rFonts w:eastAsia="Times New Roman"/>
          <w:spacing w:val="12"/>
          <w:w w:val="101"/>
          <w:position w:val="2"/>
          <w:sz w:val="18"/>
          <w:szCs w:val="18"/>
        </w:rPr>
        <w:t xml:space="preserve"> </w:t>
      </w:r>
      <w:r>
        <w:rPr>
          <w:rFonts w:eastAsia="Times New Roman"/>
          <w:position w:val="2"/>
          <w:sz w:val="18"/>
          <w:szCs w:val="18"/>
        </w:rPr>
        <w:t>China Sea, Hainan</w:t>
      </w:r>
      <w:r>
        <w:rPr>
          <w:rFonts w:eastAsia="Times New Roman"/>
          <w:spacing w:val="19"/>
          <w:position w:val="2"/>
          <w:sz w:val="18"/>
          <w:szCs w:val="18"/>
        </w:rPr>
        <w:t xml:space="preserve"> </w:t>
      </w:r>
      <w:r>
        <w:rPr>
          <w:rFonts w:eastAsia="Times New Roman"/>
          <w:position w:val="2"/>
          <w:sz w:val="18"/>
          <w:szCs w:val="18"/>
        </w:rPr>
        <w:t>University, Haikou 570228</w:t>
      </w:r>
      <w:r>
        <w:rPr>
          <w:rFonts w:eastAsia="Times New Roman"/>
          <w:spacing w:val="-1"/>
          <w:position w:val="2"/>
          <w:sz w:val="18"/>
          <w:szCs w:val="18"/>
        </w:rPr>
        <w:t>,</w:t>
      </w:r>
      <w:r>
        <w:rPr>
          <w:rFonts w:eastAsia="Times New Roman"/>
          <w:spacing w:val="12"/>
          <w:position w:val="2"/>
          <w:sz w:val="18"/>
          <w:szCs w:val="18"/>
        </w:rPr>
        <w:t xml:space="preserve"> </w:t>
      </w:r>
      <w:r>
        <w:rPr>
          <w:rFonts w:eastAsia="Times New Roman"/>
          <w:spacing w:val="-1"/>
          <w:position w:val="2"/>
          <w:sz w:val="18"/>
          <w:szCs w:val="18"/>
        </w:rPr>
        <w:t>China; 4. School of</w:t>
      </w:r>
      <w:r>
        <w:rPr>
          <w:rFonts w:eastAsia="Times New Roman"/>
          <w:spacing w:val="-23"/>
          <w:position w:val="2"/>
          <w:sz w:val="18"/>
          <w:szCs w:val="18"/>
        </w:rPr>
        <w:t xml:space="preserve"> </w:t>
      </w:r>
      <w:r>
        <w:rPr>
          <w:rFonts w:eastAsia="Times New Roman"/>
          <w:spacing w:val="-1"/>
          <w:position w:val="2"/>
          <w:sz w:val="18"/>
          <w:szCs w:val="18"/>
        </w:rPr>
        <w:t>Cyberspace Security, Hainan</w:t>
      </w:r>
    </w:p>
    <w:p w14:paraId="547DF28E">
      <w:pPr>
        <w:spacing w:line="228" w:lineRule="exact"/>
        <w:ind w:left="3564"/>
        <w:rPr>
          <w:rFonts w:ascii="Arial"/>
        </w:rPr>
      </w:pPr>
      <w:r>
        <w:rPr>
          <w:rFonts w:eastAsia="Times New Roman"/>
          <w:spacing w:val="-1"/>
          <w:position w:val="3"/>
          <w:sz w:val="18"/>
          <w:szCs w:val="18"/>
        </w:rPr>
        <w:t>University, Haikou 570228,</w:t>
      </w:r>
      <w:r>
        <w:rPr>
          <w:rFonts w:eastAsia="Times New Roman"/>
          <w:spacing w:val="12"/>
          <w:position w:val="3"/>
          <w:sz w:val="18"/>
          <w:szCs w:val="18"/>
        </w:rPr>
        <w:t xml:space="preserve"> </w:t>
      </w:r>
      <w:r>
        <w:rPr>
          <w:rFonts w:eastAsia="Times New Roman"/>
          <w:spacing w:val="-1"/>
          <w:position w:val="3"/>
          <w:sz w:val="18"/>
          <w:szCs w:val="18"/>
        </w:rPr>
        <w:t>Chin</w:t>
      </w:r>
      <w:r>
        <w:rPr>
          <w:rFonts w:eastAsia="Times New Roman"/>
          <w:spacing w:val="-2"/>
          <w:position w:val="3"/>
          <w:sz w:val="18"/>
          <w:szCs w:val="18"/>
        </w:rPr>
        <w:t>a)</w:t>
      </w:r>
    </w:p>
    <w:p w14:paraId="7ECF1217">
      <w:pPr>
        <w:spacing w:before="58" w:line="281" w:lineRule="auto"/>
        <w:ind w:left="8"/>
        <w:rPr>
          <w:szCs w:val="21"/>
        </w:rPr>
      </w:pPr>
      <w:r>
        <w:rPr>
          <w:rFonts w:eastAsia="Times New Roman"/>
          <w:b/>
          <w:bCs/>
          <w:sz w:val="20"/>
          <w:szCs w:val="20"/>
        </w:rPr>
        <w:t>Abstract</w:t>
      </w:r>
      <w:r>
        <w:rPr>
          <w:rFonts w:eastAsia="Times New Roman"/>
          <w:sz w:val="20"/>
          <w:szCs w:val="20"/>
        </w:rPr>
        <w:t>:</w:t>
      </w:r>
      <w:r>
        <w:rPr>
          <w:szCs w:val="21"/>
        </w:rPr>
        <w:t xml:space="preserve"> This study investigated the effects of dietary isoleucine (Ile) levels on growth, feeding, and lipid metabolism of leopard coral grouper (</w:t>
      </w:r>
      <w:r>
        <w:rPr>
          <w:i/>
          <w:iCs/>
          <w:szCs w:val="21"/>
        </w:rPr>
        <w:t>Plectropomus leopardus</w:t>
      </w:r>
      <w:r>
        <w:rPr>
          <w:szCs w:val="21"/>
        </w:rPr>
        <w:t xml:space="preserve">). Seven experimental diets, each with three replicates, were </w:t>
      </w:r>
      <w:r>
        <w:rPr>
          <w:rFonts w:hint="eastAsia"/>
          <w:szCs w:val="21"/>
        </w:rPr>
        <w:t>formulated</w:t>
      </w:r>
      <w:r>
        <w:rPr>
          <w:szCs w:val="21"/>
        </w:rPr>
        <w:t xml:space="preserve"> with graded Ile levels of 1.96%, 2.11%, 2.29%, 2.40%, 2.53%, 2.68%, and 2.84% of dry matter, designated as Ile1.96, Ile2.11, Ile2.29, Ile2.40, Ile2.53, Ile2.68, and Ile2.84, respectively. Juvenile  fish (initial body weight of </w:t>
      </w:r>
      <w:r>
        <w:rPr>
          <w:rFonts w:hint="eastAsia"/>
          <w:szCs w:val="21"/>
        </w:rPr>
        <w:t>34.93 ± 0.27</w:t>
      </w:r>
      <w:r>
        <w:rPr>
          <w:szCs w:val="21"/>
        </w:rPr>
        <w:t xml:space="preserve"> g) were stocked at 15 fish per replicate, with three replicates per diet, and fed for 9 weeks. Results showed that the Ile2.84 group exhibited significantly lower weight gain rate (WGR), daily feed intake (DFI), specific growth rate (SGR), and protein efficiency ratio (PER) compared with all other groups (</w:t>
      </w:r>
      <w:r>
        <w:rPr>
          <w:rFonts w:hint="eastAsia"/>
          <w:szCs w:val="21"/>
        </w:rPr>
        <w:t>P &lt; 0.05</w:t>
      </w:r>
      <w:r>
        <w:rPr>
          <w:szCs w:val="21"/>
        </w:rPr>
        <w:t>), while its feed conversion rate (FCR) was significantly higher (</w:t>
      </w:r>
      <w:r>
        <w:rPr>
          <w:rFonts w:hint="eastAsia"/>
          <w:szCs w:val="21"/>
        </w:rPr>
        <w:t>P &lt; 0.05</w:t>
      </w:r>
      <w:r>
        <w:rPr>
          <w:szCs w:val="21"/>
        </w:rPr>
        <w:t xml:space="preserve">). The analysis of </w:t>
      </w:r>
      <w:r>
        <w:rPr>
          <w:rFonts w:hint="eastAsia"/>
          <w:szCs w:val="21"/>
        </w:rPr>
        <w:t>the two</w:t>
      </w:r>
      <w:r>
        <w:rPr>
          <w:szCs w:val="21"/>
        </w:rPr>
        <w:t xml:space="preserve">-slope broken-line model on WGR indicated that growth declined when dietary isoleucine levels exceeded 2.68%. The Ile2.84 group exhibited significantly lower </w:t>
      </w:r>
      <w:r>
        <w:rPr>
          <w:rFonts w:hint="eastAsia"/>
          <w:szCs w:val="21"/>
        </w:rPr>
        <w:t>hepatic</w:t>
      </w:r>
      <w:r>
        <w:rPr>
          <w:szCs w:val="21"/>
        </w:rPr>
        <w:t xml:space="preserve"> index (HSI), condition factor (CF), and crude lipid content in whole body, muscle, and liver compared to other groups (</w:t>
      </w:r>
      <w:r>
        <w:rPr>
          <w:rFonts w:hint="eastAsia"/>
          <w:i/>
          <w:iCs/>
          <w:szCs w:val="21"/>
        </w:rPr>
        <w:t>P</w:t>
      </w:r>
      <w:r>
        <w:rPr>
          <w:rFonts w:hint="eastAsia"/>
          <w:szCs w:val="21"/>
        </w:rPr>
        <w:t>&lt;0.05</w:t>
      </w:r>
      <w:r>
        <w:rPr>
          <w:szCs w:val="21"/>
        </w:rPr>
        <w:t xml:space="preserve">). Consistently, plasma levels of triglycerides (TG), total cholesterol (T-CHO), and low-density </w:t>
      </w:r>
      <w:r>
        <w:rPr>
          <w:rFonts w:hint="eastAsia"/>
          <w:szCs w:val="21"/>
        </w:rPr>
        <w:t>lipoprotein</w:t>
      </w:r>
      <w:r>
        <w:rPr>
          <w:szCs w:val="21"/>
        </w:rPr>
        <w:t xml:space="preserve"> cholesterol (LDL-C) were significantly decreased (</w:t>
      </w:r>
      <w:r>
        <w:rPr>
          <w:rFonts w:hint="eastAsia"/>
          <w:szCs w:val="21"/>
        </w:rPr>
        <w:t>P &lt; 0.05</w:t>
      </w:r>
      <w:r>
        <w:rPr>
          <w:szCs w:val="21"/>
        </w:rPr>
        <w:t>), while high-density lipoprotein cholesterol (HDL-C) levels exhibited the opposite trend (</w:t>
      </w:r>
      <w:r>
        <w:rPr>
          <w:rFonts w:hint="eastAsia"/>
          <w:szCs w:val="21"/>
        </w:rPr>
        <w:t>P &lt; 0.05</w:t>
      </w:r>
      <w:r>
        <w:rPr>
          <w:szCs w:val="21"/>
        </w:rPr>
        <w:t>). Ile2.84 group showed significantly higher expression of brain orexigenic genes (npy) and intestinal anorexigenic genes (</w:t>
      </w:r>
      <w:r>
        <w:rPr>
          <w:rFonts w:hint="eastAsia"/>
          <w:szCs w:val="21"/>
        </w:rPr>
        <w:t>T1R1</w:t>
      </w:r>
      <w:r>
        <w:rPr>
          <w:szCs w:val="21"/>
        </w:rPr>
        <w:t xml:space="preserve">, </w:t>
      </w:r>
      <w:r>
        <w:rPr>
          <w:rFonts w:hint="eastAsia"/>
          <w:szCs w:val="21"/>
        </w:rPr>
        <w:t>T1R3</w:t>
      </w:r>
      <w:r>
        <w:rPr>
          <w:szCs w:val="21"/>
        </w:rPr>
        <w:t xml:space="preserve">, and </w:t>
      </w:r>
      <w:r>
        <w:rPr>
          <w:rFonts w:hint="eastAsia"/>
          <w:szCs w:val="21"/>
        </w:rPr>
        <w:t>CCK</w:t>
      </w:r>
      <w:r>
        <w:rPr>
          <w:szCs w:val="21"/>
        </w:rPr>
        <w:t>) compared to other groups (</w:t>
      </w:r>
      <w:r>
        <w:rPr>
          <w:rFonts w:hint="eastAsia"/>
          <w:szCs w:val="21"/>
        </w:rPr>
        <w:t>P &lt; 0.05</w:t>
      </w:r>
      <w:r>
        <w:rPr>
          <w:szCs w:val="21"/>
        </w:rPr>
        <w:t>). The Ile2.84 group exhibited significantly reduced expression levels of hepatic lipid synthesis-related genes (</w:t>
      </w:r>
      <w:r>
        <w:rPr>
          <w:i/>
          <w:iCs/>
          <w:szCs w:val="21"/>
        </w:rPr>
        <w:t>acc1α</w:t>
      </w:r>
      <w:r>
        <w:rPr>
          <w:szCs w:val="21"/>
        </w:rPr>
        <w:t xml:space="preserve"> and</w:t>
      </w:r>
      <w:r>
        <w:rPr>
          <w:i/>
          <w:iCs/>
          <w:szCs w:val="21"/>
        </w:rPr>
        <w:t xml:space="preserve"> fas</w:t>
      </w:r>
      <w:r>
        <w:rPr>
          <w:szCs w:val="21"/>
        </w:rPr>
        <w:t>), but significantly increased expression levels of lipid catabolism-related genes (</w:t>
      </w:r>
      <w:r>
        <w:rPr>
          <w:i/>
          <w:iCs/>
          <w:szCs w:val="21"/>
        </w:rPr>
        <w:t>ampkα</w:t>
      </w:r>
      <w:r>
        <w:rPr>
          <w:szCs w:val="21"/>
        </w:rPr>
        <w:t>,</w:t>
      </w:r>
      <w:r>
        <w:rPr>
          <w:i/>
          <w:iCs/>
          <w:szCs w:val="21"/>
        </w:rPr>
        <w:t xml:space="preserve"> pparα</w:t>
      </w:r>
      <w:r>
        <w:rPr>
          <w:szCs w:val="21"/>
        </w:rPr>
        <w:t xml:space="preserve">, </w:t>
      </w:r>
      <w:r>
        <w:rPr>
          <w:i/>
          <w:iCs/>
          <w:szCs w:val="21"/>
        </w:rPr>
        <w:t>cpt-1</w:t>
      </w:r>
      <w:r>
        <w:rPr>
          <w:szCs w:val="21"/>
        </w:rPr>
        <w:t xml:space="preserve">, and </w:t>
      </w:r>
      <w:r>
        <w:rPr>
          <w:i/>
          <w:iCs/>
          <w:szCs w:val="21"/>
        </w:rPr>
        <w:t>hsl</w:t>
      </w:r>
      <w:r>
        <w:rPr>
          <w:szCs w:val="21"/>
        </w:rPr>
        <w:t>) (</w:t>
      </w:r>
      <w:r>
        <w:rPr>
          <w:rFonts w:hint="eastAsia"/>
          <w:szCs w:val="21"/>
        </w:rPr>
        <w:t>P &lt; 0.05</w:t>
      </w:r>
      <w:r>
        <w:rPr>
          <w:szCs w:val="21"/>
        </w:rPr>
        <w:t xml:space="preserve">). In conclusion, dietary isoleucine </w:t>
      </w:r>
      <w:r>
        <w:rPr>
          <w:rFonts w:hint="eastAsia"/>
          <w:szCs w:val="21"/>
        </w:rPr>
        <w:t>levels</w:t>
      </w:r>
      <w:r>
        <w:rPr>
          <w:szCs w:val="21"/>
        </w:rPr>
        <w:t xml:space="preserve"> ranging from 1.96% to 2.68% (</w:t>
      </w:r>
      <w:r>
        <w:rPr>
          <w:rFonts w:hint="eastAsia"/>
          <w:szCs w:val="21"/>
        </w:rPr>
        <w:t>3.80%–5.17</w:t>
      </w:r>
      <w:r>
        <w:rPr>
          <w:szCs w:val="21"/>
        </w:rPr>
        <w:t xml:space="preserve">% of dietary protein) are sufficient to support optimal growth in </w:t>
      </w:r>
      <w:r>
        <w:rPr>
          <w:i/>
          <w:iCs/>
          <w:szCs w:val="21"/>
        </w:rPr>
        <w:t>P. leopardus</w:t>
      </w:r>
      <w:r>
        <w:rPr>
          <w:szCs w:val="21"/>
        </w:rPr>
        <w:t>.</w:t>
      </w:r>
    </w:p>
    <w:p w14:paraId="68F5FAC2">
      <w:pPr>
        <w:rPr>
          <w:i/>
          <w:iCs/>
          <w:szCs w:val="21"/>
        </w:rPr>
      </w:pPr>
      <w:r>
        <w:rPr>
          <w:b/>
          <w:bCs/>
          <w:szCs w:val="21"/>
        </w:rPr>
        <w:t xml:space="preserve">Key words: </w:t>
      </w:r>
      <w:r>
        <w:rPr>
          <w:szCs w:val="21"/>
        </w:rPr>
        <w:t xml:space="preserve">Isoleucine; Growth; Feeding; Lipid metabolism; </w:t>
      </w:r>
      <w:r>
        <w:rPr>
          <w:i/>
          <w:iCs/>
          <w:szCs w:val="21"/>
        </w:rPr>
        <w:t>Plectropomus leopardus</w:t>
      </w:r>
    </w:p>
    <w:p w14:paraId="3FA1CECD">
      <w:pPr>
        <w:spacing w:line="360" w:lineRule="auto"/>
        <w:rPr>
          <w:sz w:val="24"/>
        </w:rPr>
      </w:pPr>
    </w:p>
    <w:p w14:paraId="3D875EA5">
      <w:pPr>
        <w:spacing w:line="360" w:lineRule="auto"/>
        <w:ind w:firstLine="480" w:firstLineChars="200"/>
        <w:rPr>
          <w:sz w:val="24"/>
        </w:rPr>
      </w:pPr>
      <w:r>
        <w:rPr>
          <w:sz w:val="24"/>
        </w:rPr>
        <w:t>蛋白质是水产饲料中最昂贵的关键营养成分</w:t>
      </w:r>
      <w:r>
        <w:rPr>
          <w:sz w:val="24"/>
          <w:vertAlign w:val="superscript"/>
        </w:rPr>
        <w:t>[</w:t>
      </w:r>
      <w:r>
        <w:fldChar w:fldCharType="begin"/>
      </w:r>
      <w:r>
        <w:instrText xml:space="preserve"> HYPERLINK \l "bookmark1" </w:instrText>
      </w:r>
      <w:r>
        <w:fldChar w:fldCharType="separate"/>
      </w:r>
      <w:r>
        <w:rPr>
          <w:sz w:val="24"/>
          <w:vertAlign w:val="superscript"/>
        </w:rPr>
        <w:t>1</w:t>
      </w:r>
      <w:r>
        <w:rPr>
          <w:sz w:val="24"/>
          <w:vertAlign w:val="superscript"/>
        </w:rPr>
        <w:fldChar w:fldCharType="end"/>
      </w:r>
      <w:r>
        <w:rPr>
          <w:sz w:val="24"/>
          <w:vertAlign w:val="superscript"/>
        </w:rPr>
        <w:t>]</w:t>
      </w:r>
      <w:r>
        <w:rPr>
          <w:sz w:val="24"/>
        </w:rPr>
        <w:t>, 鱼类对蛋白质营养的需求本质上是对各种氨基酸的特定需求</w:t>
      </w:r>
      <w:r>
        <w:rPr>
          <w:sz w:val="24"/>
          <w:vertAlign w:val="superscript"/>
        </w:rPr>
        <w:fldChar w:fldCharType="begin"/>
      </w:r>
      <w:r>
        <w:rPr>
          <w:sz w:val="24"/>
          <w:vertAlign w:val="superscript"/>
        </w:rPr>
        <w:instrText xml:space="preserve"> HYPERLINK \l "bookmark3"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"bookmark2" </w:instrText>
      </w:r>
      <w:r>
        <w:fldChar w:fldCharType="separate"/>
      </w:r>
      <w:r>
        <w:rPr>
          <w:sz w:val="24"/>
          <w:vertAlign w:val="superscript"/>
        </w:rPr>
        <w:t>2</w:t>
      </w:r>
      <w:r>
        <w:rPr>
          <w:sz w:val="24"/>
          <w:vertAlign w:val="superscript"/>
        </w:rPr>
        <w:fldChar w:fldCharType="end"/>
      </w:r>
      <w:r>
        <w:rPr>
          <w:sz w:val="24"/>
          <w:vertAlign w:val="superscript"/>
        </w:rPr>
        <w:t>]</w:t>
      </w:r>
      <w:r>
        <w:rPr>
          <w:sz w:val="24"/>
        </w:rPr>
        <w:t>。因此, 仅依据粗蛋白含量配制的饲料, 可能无法实现氨基酸的均衡供给, 尤其是必需氨基酸</w:t>
      </w:r>
      <w:r>
        <w:rPr>
          <w:sz w:val="24"/>
          <w:vertAlign w:val="superscript"/>
        </w:rPr>
        <w:t>[</w:t>
      </w:r>
      <w:r>
        <w:fldChar w:fldCharType="begin"/>
      </w:r>
      <w:r>
        <w:instrText xml:space="preserve"> HYPERLINK \l "bookmark4" </w:instrText>
      </w:r>
      <w:r>
        <w:fldChar w:fldCharType="separate"/>
      </w:r>
      <w:r>
        <w:rPr>
          <w:sz w:val="24"/>
          <w:vertAlign w:val="superscript"/>
        </w:rPr>
        <w:t>3</w:t>
      </w:r>
      <w:r>
        <w:rPr>
          <w:sz w:val="24"/>
          <w:vertAlign w:val="superscript"/>
        </w:rPr>
        <w:fldChar w:fldCharType="end"/>
      </w:r>
      <w:r>
        <w:rPr>
          <w:sz w:val="24"/>
          <w:vertAlign w:val="superscript"/>
        </w:rPr>
        <w:t>]</w:t>
      </w:r>
      <w:r>
        <w:rPr>
          <w:sz w:val="24"/>
        </w:rPr>
        <w:t>。异亮氨酸是鱼类生长发育的必需氨基酸之一</w:t>
      </w:r>
      <w:r>
        <w:rPr>
          <w:sz w:val="24"/>
          <w:vertAlign w:val="superscript"/>
        </w:rPr>
        <w:t>[</w:t>
      </w:r>
      <w:r>
        <w:fldChar w:fldCharType="begin"/>
      </w:r>
      <w:r>
        <w:instrText xml:space="preserve"> HYPERLINK \l "bookmark5" </w:instrText>
      </w:r>
      <w:r>
        <w:fldChar w:fldCharType="separate"/>
      </w:r>
      <w:r>
        <w:rPr>
          <w:sz w:val="24"/>
          <w:vertAlign w:val="superscript"/>
        </w:rPr>
        <w:t>4</w:t>
      </w:r>
      <w:r>
        <w:rPr>
          <w:sz w:val="24"/>
          <w:vertAlign w:val="superscript"/>
        </w:rPr>
        <w:fldChar w:fldCharType="end"/>
      </w:r>
      <w:r>
        <w:rPr>
          <w:sz w:val="24"/>
          <w:vertAlign w:val="superscript"/>
        </w:rPr>
        <w:t>]</w:t>
      </w:r>
      <w:r>
        <w:rPr>
          <w:sz w:val="24"/>
        </w:rPr>
        <w:t>, 其在饲料中的适宜添加水平能够促进养殖鱼类快速生长, 但添加水平不足或过量均会导致鱼类生长缓慢, 以及损伤其生理功能</w:t>
      </w:r>
      <w:r>
        <w:rPr>
          <w:sz w:val="24"/>
          <w:vertAlign w:val="superscript"/>
        </w:rPr>
        <w:t>[</w:t>
      </w:r>
      <w:r>
        <w:fldChar w:fldCharType="begin"/>
      </w:r>
      <w:r>
        <w:instrText xml:space="preserve"> HYPERLINK \l "bookmark6" </w:instrText>
      </w:r>
      <w:r>
        <w:fldChar w:fldCharType="separate"/>
      </w:r>
      <w:r>
        <w:rPr>
          <w:sz w:val="24"/>
          <w:vertAlign w:val="superscript"/>
        </w:rPr>
        <w:t>5</w:t>
      </w:r>
      <w:r>
        <w:rPr>
          <w:sz w:val="24"/>
          <w:vertAlign w:val="superscript"/>
        </w:rPr>
        <w:fldChar w:fldCharType="end"/>
      </w:r>
      <w:r>
        <w:rPr>
          <w:sz w:val="24"/>
          <w:vertAlign w:val="superscript"/>
        </w:rPr>
        <w:t xml:space="preserve">, </w:t>
      </w:r>
      <w:r>
        <w:fldChar w:fldCharType="begin"/>
      </w:r>
      <w:r>
        <w:instrText xml:space="preserve"> HYPERLINK \l "bookmark7" </w:instrText>
      </w:r>
      <w:r>
        <w:fldChar w:fldCharType="separate"/>
      </w:r>
      <w:r>
        <w:rPr>
          <w:sz w:val="24"/>
          <w:vertAlign w:val="superscript"/>
        </w:rPr>
        <w:t>6</w:t>
      </w:r>
      <w:r>
        <w:rPr>
          <w:sz w:val="24"/>
          <w:vertAlign w:val="superscript"/>
        </w:rPr>
        <w:fldChar w:fldCharType="end"/>
      </w:r>
      <w:r>
        <w:rPr>
          <w:sz w:val="24"/>
          <w:vertAlign w:val="superscript"/>
        </w:rPr>
        <w:t>]</w:t>
      </w:r>
      <w:r>
        <w:rPr>
          <w:sz w:val="24"/>
        </w:rPr>
        <w:t>。当前,饲料中异亮氨酸的最适水平</w:t>
      </w:r>
      <w:r>
        <w:rPr>
          <w:rFonts w:hint="eastAsia"/>
          <w:sz w:val="24"/>
        </w:rPr>
        <w:t>（占饲料干重）</w:t>
      </w:r>
      <w:r>
        <w:rPr>
          <w:sz w:val="24"/>
        </w:rPr>
        <w:t>已在多种</w:t>
      </w:r>
      <w:r>
        <w:rPr>
          <w:rFonts w:hint="eastAsia"/>
          <w:sz w:val="24"/>
        </w:rPr>
        <w:t>鱼类</w:t>
      </w:r>
      <w:r>
        <w:rPr>
          <w:sz w:val="24"/>
        </w:rPr>
        <w:t>中 报 道 , 例 如 大 黄 鱼</w:t>
      </w:r>
      <w:r>
        <w:rPr>
          <w:i/>
          <w:iCs/>
          <w:sz w:val="24"/>
        </w:rPr>
        <w:t>Pseudosciaena crocea</w:t>
      </w:r>
      <w:r>
        <w:rPr>
          <w:rFonts w:hint="eastAsia"/>
          <w:sz w:val="24"/>
        </w:rPr>
        <w:t>（1.71%）</w:t>
      </w:r>
      <w:r>
        <w:fldChar w:fldCharType="begin"/>
      </w:r>
      <w:r>
        <w:instrText xml:space="preserve"> HYPERLINK \l "bookmark10" </w:instrText>
      </w:r>
      <w:r>
        <w:fldChar w:fldCharType="separate"/>
      </w:r>
      <w:r>
        <w:rPr>
          <w:sz w:val="24"/>
          <w:vertAlign w:val="superscript"/>
        </w:rPr>
        <w:t>[</w:t>
      </w:r>
      <w:r>
        <w:rPr>
          <w:sz w:val="24"/>
          <w:vertAlign w:val="superscript"/>
        </w:rPr>
        <w:fldChar w:fldCharType="end"/>
      </w:r>
      <w:r>
        <w:fldChar w:fldCharType="begin"/>
      </w:r>
      <w:r>
        <w:instrText xml:space="preserve"> HYPERLINK \l "bookmark8" </w:instrText>
      </w:r>
      <w:r>
        <w:fldChar w:fldCharType="separate"/>
      </w:r>
      <w:r>
        <w:rPr>
          <w:sz w:val="24"/>
          <w:vertAlign w:val="superscript"/>
        </w:rPr>
        <w:t>7</w:t>
      </w:r>
      <w:r>
        <w:rPr>
          <w:sz w:val="24"/>
          <w:vertAlign w:val="superscript"/>
        </w:rPr>
        <w:fldChar w:fldCharType="end"/>
      </w:r>
      <w:r>
        <w:rPr>
          <w:sz w:val="24"/>
          <w:vertAlign w:val="superscript"/>
        </w:rPr>
        <w:t>]</w:t>
      </w:r>
      <w:r>
        <w:rPr>
          <w:sz w:val="24"/>
        </w:rPr>
        <w:t>、卵形鲳鲹</w:t>
      </w:r>
      <w:r>
        <w:rPr>
          <w:i/>
          <w:iCs/>
          <w:sz w:val="24"/>
        </w:rPr>
        <w:t>Trachinotus ovatus</w:t>
      </w:r>
      <w:r>
        <w:rPr>
          <w:rFonts w:hint="eastAsia"/>
          <w:sz w:val="24"/>
        </w:rPr>
        <w:t>（1.74%）</w:t>
      </w:r>
      <w:r>
        <w:rPr>
          <w:sz w:val="24"/>
          <w:vertAlign w:val="superscript"/>
        </w:rPr>
        <w:t>[</w:t>
      </w:r>
      <w:r>
        <w:fldChar w:fldCharType="begin"/>
      </w:r>
      <w:r>
        <w:instrText xml:space="preserve"> HYPERLINK \l "bookmark9" </w:instrText>
      </w:r>
      <w:r>
        <w:fldChar w:fldCharType="separate"/>
      </w:r>
      <w:r>
        <w:rPr>
          <w:sz w:val="24"/>
          <w:vertAlign w:val="superscript"/>
        </w:rPr>
        <w:t>8</w:t>
      </w:r>
      <w:r>
        <w:rPr>
          <w:sz w:val="24"/>
          <w:vertAlign w:val="superscript"/>
        </w:rPr>
        <w:fldChar w:fldCharType="end"/>
      </w:r>
      <w:r>
        <w:rPr>
          <w:sz w:val="24"/>
          <w:vertAlign w:val="superscript"/>
        </w:rPr>
        <w:t>]</w:t>
      </w:r>
      <w:r>
        <w:rPr>
          <w:sz w:val="24"/>
        </w:rPr>
        <w:t>、虎龙杂交斑</w:t>
      </w:r>
      <w:r>
        <w:rPr>
          <w:rFonts w:hint="eastAsia"/>
          <w:i/>
          <w:iCs/>
          <w:sz w:val="24"/>
        </w:rPr>
        <w:t>Epinephelus fuscoguttatus</w:t>
      </w:r>
      <w:r>
        <w:rPr>
          <w:i/>
          <w:iCs/>
          <w:sz w:val="24"/>
        </w:rPr>
        <w:t xml:space="preserve"> </w:t>
      </w:r>
      <w:r>
        <w:rPr>
          <w:sz w:val="24"/>
        </w:rPr>
        <w:t xml:space="preserve">♀ </w:t>
      </w:r>
      <w:r>
        <w:rPr>
          <w:rFonts w:hint="eastAsia"/>
          <w:sz w:val="24"/>
        </w:rPr>
        <w:t>×</w:t>
      </w:r>
      <w:r>
        <w:rPr>
          <w:sz w:val="24"/>
        </w:rPr>
        <w:t xml:space="preserve"> </w:t>
      </w:r>
      <w:r>
        <w:rPr>
          <w:i/>
          <w:iCs/>
          <w:sz w:val="24"/>
        </w:rPr>
        <w:t xml:space="preserve">phelus lanceolatus </w:t>
      </w:r>
      <w:r>
        <w:rPr>
          <w:sz w:val="24"/>
        </w:rPr>
        <w:t>♂</w:t>
      </w:r>
      <w:r>
        <w:rPr>
          <w:rFonts w:hint="eastAsia"/>
          <w:sz w:val="24"/>
        </w:rPr>
        <w:t>（1.98%）</w:t>
      </w:r>
      <w:r>
        <w:fldChar w:fldCharType="begin"/>
      </w:r>
      <w:r>
        <w:instrText xml:space="preserve"> HYPERLINK \l "bookmark12" </w:instrText>
      </w:r>
      <w:r>
        <w:fldChar w:fldCharType="separate"/>
      </w:r>
      <w:r>
        <w:rPr>
          <w:sz w:val="24"/>
          <w:vertAlign w:val="superscript"/>
        </w:rPr>
        <w:t>[</w:t>
      </w:r>
      <w:r>
        <w:rPr>
          <w:sz w:val="24"/>
          <w:vertAlign w:val="superscript"/>
        </w:rPr>
        <w:fldChar w:fldCharType="end"/>
      </w:r>
      <w:r>
        <w:fldChar w:fldCharType="begin"/>
      </w:r>
      <w:r>
        <w:instrText xml:space="preserve"> HYPERLINK \l "bookmark11" </w:instrText>
      </w:r>
      <w:r>
        <w:fldChar w:fldCharType="separate"/>
      </w:r>
      <w:r>
        <w:rPr>
          <w:sz w:val="24"/>
          <w:vertAlign w:val="superscript"/>
        </w:rPr>
        <w:t>9</w:t>
      </w:r>
      <w:r>
        <w:rPr>
          <w:sz w:val="24"/>
          <w:vertAlign w:val="superscript"/>
        </w:rPr>
        <w:fldChar w:fldCharType="end"/>
      </w:r>
      <w:r>
        <w:rPr>
          <w:sz w:val="24"/>
          <w:vertAlign w:val="superscript"/>
        </w:rPr>
        <w:t>]</w:t>
      </w:r>
      <w:r>
        <w:rPr>
          <w:sz w:val="24"/>
        </w:rPr>
        <w:t>、美国红鱼</w:t>
      </w:r>
      <w:r>
        <w:rPr>
          <w:i/>
          <w:iCs/>
          <w:sz w:val="24"/>
        </w:rPr>
        <w:t>Sciaenops ocellatus</w:t>
      </w:r>
      <w:r>
        <w:rPr>
          <w:rFonts w:hint="eastAsia"/>
          <w:sz w:val="24"/>
        </w:rPr>
        <w:t>（</w:t>
      </w:r>
      <w:r>
        <w:rPr>
          <w:sz w:val="24"/>
        </w:rPr>
        <w:t>1.11%</w:t>
      </w:r>
      <w:r>
        <w:rPr>
          <w:rFonts w:hint="eastAsia"/>
          <w:sz w:val="24"/>
        </w:rPr>
        <w:t>）</w:t>
      </w:r>
      <w:r>
        <w:fldChar w:fldCharType="begin"/>
      </w:r>
      <w:r>
        <w:instrText xml:space="preserve"> HYPERLINK \l "bookmark14" </w:instrText>
      </w:r>
      <w:r>
        <w:fldChar w:fldCharType="separate"/>
      </w:r>
      <w:r>
        <w:rPr>
          <w:sz w:val="24"/>
          <w:vertAlign w:val="superscript"/>
        </w:rPr>
        <w:t>[</w:t>
      </w:r>
      <w:r>
        <w:rPr>
          <w:sz w:val="24"/>
          <w:vertAlign w:val="superscript"/>
        </w:rPr>
        <w:fldChar w:fldCharType="end"/>
      </w:r>
      <w:r>
        <w:fldChar w:fldCharType="begin"/>
      </w:r>
      <w:r>
        <w:instrText xml:space="preserve"> HYPERLINK \l "bookmark13" </w:instrText>
      </w:r>
      <w:r>
        <w:fldChar w:fldCharType="separate"/>
      </w:r>
      <w:r>
        <w:rPr>
          <w:sz w:val="24"/>
          <w:vertAlign w:val="superscript"/>
        </w:rPr>
        <w:t>10</w:t>
      </w:r>
      <w:r>
        <w:rPr>
          <w:sz w:val="24"/>
          <w:vertAlign w:val="superscript"/>
        </w:rPr>
        <w:fldChar w:fldCharType="end"/>
      </w:r>
      <w:r>
        <w:rPr>
          <w:sz w:val="24"/>
          <w:vertAlign w:val="superscript"/>
        </w:rPr>
        <w:t>]</w:t>
      </w:r>
      <w:r>
        <w:rPr>
          <w:sz w:val="24"/>
        </w:rPr>
        <w:t>、草鱼</w:t>
      </w:r>
      <w:r>
        <w:rPr>
          <w:i/>
          <w:iCs/>
          <w:sz w:val="24"/>
        </w:rPr>
        <w:t>Ctenopharyngodon idellus</w:t>
      </w:r>
      <w:r>
        <w:rPr>
          <w:rFonts w:hint="eastAsia"/>
          <w:sz w:val="24"/>
        </w:rPr>
        <w:t>（1.46%）</w:t>
      </w:r>
      <w:r>
        <w:fldChar w:fldCharType="begin"/>
      </w:r>
      <w:r>
        <w:instrText xml:space="preserve"> HYPERLINK \l "bookmark18" </w:instrText>
      </w:r>
      <w:r>
        <w:fldChar w:fldCharType="separate"/>
      </w:r>
      <w:r>
        <w:rPr>
          <w:sz w:val="24"/>
          <w:vertAlign w:val="superscript"/>
        </w:rPr>
        <w:t>[</w:t>
      </w:r>
      <w:r>
        <w:rPr>
          <w:sz w:val="24"/>
          <w:vertAlign w:val="superscript"/>
        </w:rPr>
        <w:fldChar w:fldCharType="end"/>
      </w:r>
      <w:r>
        <w:fldChar w:fldCharType="begin"/>
      </w:r>
      <w:r>
        <w:instrText xml:space="preserve"> HYPERLINK \l "bookmark15" </w:instrText>
      </w:r>
      <w:r>
        <w:fldChar w:fldCharType="separate"/>
      </w:r>
      <w:r>
        <w:rPr>
          <w:sz w:val="24"/>
          <w:vertAlign w:val="superscript"/>
        </w:rPr>
        <w:t>11</w:t>
      </w:r>
      <w:r>
        <w:rPr>
          <w:sz w:val="24"/>
          <w:vertAlign w:val="superscript"/>
        </w:rPr>
        <w:fldChar w:fldCharType="end"/>
      </w:r>
      <w:r>
        <w:rPr>
          <w:sz w:val="24"/>
          <w:vertAlign w:val="superscript"/>
        </w:rPr>
        <w:t>]</w:t>
      </w:r>
      <w:r>
        <w:rPr>
          <w:sz w:val="24"/>
        </w:rPr>
        <w:t>、</w:t>
      </w:r>
      <w:r>
        <w:rPr>
          <w:rFonts w:hint="eastAsia"/>
          <w:sz w:val="24"/>
        </w:rPr>
        <w:t>印度</w:t>
      </w:r>
      <w:r>
        <w:rPr>
          <w:sz w:val="24"/>
        </w:rPr>
        <w:t>鲮</w:t>
      </w:r>
      <w:r>
        <w:rPr>
          <w:i/>
          <w:iCs/>
          <w:sz w:val="24"/>
        </w:rPr>
        <w:t>Cirrhinus mrigala</w:t>
      </w:r>
      <w:r>
        <w:rPr>
          <w:rFonts w:hint="eastAsia"/>
          <w:sz w:val="24"/>
        </w:rPr>
        <w:t>（1.32%）</w:t>
      </w:r>
      <w:r>
        <w:fldChar w:fldCharType="begin"/>
      </w:r>
      <w:r>
        <w:instrText xml:space="preserve"> HYPERLINK \l "bookmark17" </w:instrText>
      </w:r>
      <w:r>
        <w:fldChar w:fldCharType="separate"/>
      </w:r>
      <w:r>
        <w:rPr>
          <w:sz w:val="24"/>
          <w:vertAlign w:val="superscript"/>
        </w:rPr>
        <w:t>[</w:t>
      </w:r>
      <w:r>
        <w:rPr>
          <w:sz w:val="24"/>
          <w:vertAlign w:val="superscript"/>
        </w:rPr>
        <w:fldChar w:fldCharType="end"/>
      </w:r>
      <w:r>
        <w:fldChar w:fldCharType="begin"/>
      </w:r>
      <w:r>
        <w:instrText xml:space="preserve"> HYPERLINK \l "bookmark16" </w:instrText>
      </w:r>
      <w:r>
        <w:fldChar w:fldCharType="separate"/>
      </w:r>
      <w:r>
        <w:rPr>
          <w:sz w:val="24"/>
          <w:vertAlign w:val="superscript"/>
        </w:rPr>
        <w:t>12</w:t>
      </w:r>
      <w:r>
        <w:rPr>
          <w:sz w:val="24"/>
          <w:vertAlign w:val="superscript"/>
        </w:rPr>
        <w:fldChar w:fldCharType="end"/>
      </w:r>
      <w:r>
        <w:rPr>
          <w:sz w:val="24"/>
          <w:vertAlign w:val="superscript"/>
        </w:rPr>
        <w:t>]</w:t>
      </w:r>
      <w:r>
        <w:rPr>
          <w:sz w:val="24"/>
        </w:rPr>
        <w:t>、尼罗罗非鱼</w:t>
      </w:r>
      <w:r>
        <w:rPr>
          <w:i/>
          <w:iCs/>
          <w:sz w:val="24"/>
        </w:rPr>
        <w:t>Oreochromis niloticus</w:t>
      </w:r>
      <w:r>
        <w:rPr>
          <w:rFonts w:hint="eastAsia"/>
          <w:sz w:val="24"/>
        </w:rPr>
        <w:t>（1.37%）</w:t>
      </w:r>
      <w:r>
        <w:fldChar w:fldCharType="begin"/>
      </w:r>
      <w:r>
        <w:instrText xml:space="preserve"> HYPERLINK \l "bookmark20" </w:instrText>
      </w:r>
      <w:r>
        <w:fldChar w:fldCharType="separate"/>
      </w:r>
      <w:r>
        <w:rPr>
          <w:sz w:val="24"/>
          <w:vertAlign w:val="superscript"/>
        </w:rPr>
        <w:t>[</w:t>
      </w:r>
      <w:r>
        <w:rPr>
          <w:sz w:val="24"/>
          <w:vertAlign w:val="superscript"/>
        </w:rPr>
        <w:fldChar w:fldCharType="end"/>
      </w:r>
      <w:r>
        <w:fldChar w:fldCharType="begin"/>
      </w:r>
      <w:r>
        <w:instrText xml:space="preserve"> HYPERLINK \l "bookmark19" </w:instrText>
      </w:r>
      <w:r>
        <w:fldChar w:fldCharType="separate"/>
      </w:r>
      <w:r>
        <w:rPr>
          <w:sz w:val="24"/>
          <w:vertAlign w:val="superscript"/>
        </w:rPr>
        <w:t>13</w:t>
      </w:r>
      <w:r>
        <w:rPr>
          <w:sz w:val="24"/>
          <w:vertAlign w:val="superscript"/>
        </w:rPr>
        <w:fldChar w:fldCharType="end"/>
      </w:r>
      <w:r>
        <w:rPr>
          <w:sz w:val="24"/>
          <w:vertAlign w:val="superscript"/>
        </w:rPr>
        <w:t>]</w:t>
      </w:r>
      <w:r>
        <w:rPr>
          <w:sz w:val="24"/>
        </w:rPr>
        <w:t>和翠鳢</w:t>
      </w:r>
      <w:r>
        <w:rPr>
          <w:i/>
          <w:iCs/>
          <w:sz w:val="24"/>
        </w:rPr>
        <w:t>Channapunctatus</w:t>
      </w:r>
      <w:r>
        <w:rPr>
          <w:rFonts w:hint="eastAsia"/>
          <w:sz w:val="24"/>
        </w:rPr>
        <w:t>（1.81%）</w:t>
      </w:r>
      <w:r>
        <w:fldChar w:fldCharType="begin"/>
      </w:r>
      <w:r>
        <w:instrText xml:space="preserve"> HYPERLINK \l "bookmark22" </w:instrText>
      </w:r>
      <w:r>
        <w:fldChar w:fldCharType="separate"/>
      </w:r>
      <w:r>
        <w:rPr>
          <w:sz w:val="24"/>
          <w:vertAlign w:val="superscript"/>
        </w:rPr>
        <w:t>[</w:t>
      </w:r>
      <w:r>
        <w:rPr>
          <w:sz w:val="24"/>
          <w:vertAlign w:val="superscript"/>
        </w:rPr>
        <w:fldChar w:fldCharType="end"/>
      </w:r>
      <w:r>
        <w:fldChar w:fldCharType="begin"/>
      </w:r>
      <w:r>
        <w:instrText xml:space="preserve"> HYPERLINK \l "bookmark21" </w:instrText>
      </w:r>
      <w:r>
        <w:fldChar w:fldCharType="separate"/>
      </w:r>
      <w:r>
        <w:rPr>
          <w:sz w:val="24"/>
          <w:vertAlign w:val="superscript"/>
        </w:rPr>
        <w:t>14</w:t>
      </w:r>
      <w:r>
        <w:rPr>
          <w:sz w:val="24"/>
          <w:vertAlign w:val="superscript"/>
        </w:rPr>
        <w:fldChar w:fldCharType="end"/>
      </w:r>
      <w:r>
        <w:rPr>
          <w:sz w:val="24"/>
          <w:vertAlign w:val="superscript"/>
        </w:rPr>
        <w:t>]</w:t>
      </w:r>
      <w:r>
        <w:rPr>
          <w:sz w:val="24"/>
        </w:rPr>
        <w:t>, 上述研究结果表明, 鱼类对异亮氨酸的需求量存在种间差异。</w:t>
      </w:r>
    </w:p>
    <w:p w14:paraId="0D46C76C">
      <w:pPr>
        <w:spacing w:line="360" w:lineRule="auto"/>
        <w:ind w:firstLine="480" w:firstLineChars="200"/>
        <w:rPr>
          <w:sz w:val="24"/>
        </w:rPr>
      </w:pPr>
      <w:r>
        <w:rPr>
          <w:sz w:val="24"/>
        </w:rPr>
        <w:t>异亮氨酸是支链氨基酸中唯一的生糖兼生酮氨基酸</w:t>
      </w:r>
      <w:r>
        <w:rPr>
          <w:sz w:val="24"/>
          <w:vertAlign w:val="superscript"/>
        </w:rPr>
        <w:fldChar w:fldCharType="begin"/>
      </w:r>
      <w:r>
        <w:rPr>
          <w:sz w:val="24"/>
          <w:vertAlign w:val="superscript"/>
        </w:rPr>
        <w:instrText xml:space="preserve"> HYPERLINK \l "bookmark26"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"bookmark23" </w:instrText>
      </w:r>
      <w:r>
        <w:fldChar w:fldCharType="separate"/>
      </w:r>
      <w:r>
        <w:rPr>
          <w:sz w:val="24"/>
          <w:vertAlign w:val="superscript"/>
        </w:rPr>
        <w:t>5</w:t>
      </w:r>
      <w:r>
        <w:rPr>
          <w:sz w:val="24"/>
          <w:vertAlign w:val="superscript"/>
        </w:rPr>
        <w:fldChar w:fldCharType="end"/>
      </w:r>
      <w:r>
        <w:rPr>
          <w:sz w:val="24"/>
          <w:vertAlign w:val="superscript"/>
        </w:rPr>
        <w:t>]</w:t>
      </w:r>
      <w:r>
        <w:rPr>
          <w:sz w:val="24"/>
        </w:rPr>
        <w:t>, 具有促进鱼体蛋白质沉积</w:t>
      </w:r>
      <w:r>
        <w:rPr>
          <w:sz w:val="24"/>
          <w:vertAlign w:val="superscript"/>
        </w:rPr>
        <w:fldChar w:fldCharType="begin"/>
      </w:r>
      <w:r>
        <w:rPr>
          <w:sz w:val="24"/>
          <w:vertAlign w:val="superscript"/>
        </w:rPr>
        <w:instrText xml:space="preserve"> HYPERLINK \l "bookmark25"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"bookmark24" </w:instrText>
      </w:r>
      <w:r>
        <w:fldChar w:fldCharType="separate"/>
      </w:r>
      <w:r>
        <w:rPr>
          <w:sz w:val="24"/>
          <w:vertAlign w:val="superscript"/>
        </w:rPr>
        <w:t>13</w:t>
      </w:r>
      <w:r>
        <w:rPr>
          <w:sz w:val="24"/>
          <w:vertAlign w:val="superscript"/>
        </w:rPr>
        <w:fldChar w:fldCharType="end"/>
      </w:r>
      <w:r>
        <w:rPr>
          <w:sz w:val="24"/>
          <w:vertAlign w:val="superscript"/>
        </w:rPr>
        <w:t>]</w:t>
      </w:r>
      <w:r>
        <w:rPr>
          <w:sz w:val="24"/>
        </w:rPr>
        <w:t>, 改善肉质</w:t>
      </w:r>
      <w:r>
        <w:rPr>
          <w:sz w:val="24"/>
          <w:vertAlign w:val="superscript"/>
        </w:rPr>
        <w:fldChar w:fldCharType="begin"/>
      </w:r>
      <w:r>
        <w:rPr>
          <w:sz w:val="24"/>
          <w:vertAlign w:val="superscript"/>
        </w:rPr>
        <w:instrText xml:space="preserve"> HYPERLINK \l "bookmark32"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"bookmark27" </w:instrText>
      </w:r>
      <w:r>
        <w:fldChar w:fldCharType="separate"/>
      </w:r>
      <w:r>
        <w:rPr>
          <w:sz w:val="24"/>
          <w:vertAlign w:val="superscript"/>
        </w:rPr>
        <w:t>15</w:t>
      </w:r>
      <w:r>
        <w:rPr>
          <w:sz w:val="24"/>
          <w:vertAlign w:val="superscript"/>
        </w:rPr>
        <w:fldChar w:fldCharType="end"/>
      </w:r>
      <w:r>
        <w:rPr>
          <w:sz w:val="24"/>
          <w:vertAlign w:val="superscript"/>
        </w:rPr>
        <w:t>]</w:t>
      </w:r>
      <w:r>
        <w:rPr>
          <w:sz w:val="24"/>
        </w:rPr>
        <w:t>, 增强抗氧化</w:t>
      </w:r>
      <w:r>
        <w:rPr>
          <w:sz w:val="24"/>
          <w:vertAlign w:val="superscript"/>
        </w:rPr>
        <w:fldChar w:fldCharType="begin"/>
      </w:r>
      <w:r>
        <w:rPr>
          <w:sz w:val="24"/>
          <w:vertAlign w:val="superscript"/>
        </w:rPr>
        <w:instrText xml:space="preserve"> HYPERLINK \l "bookmark31"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"bookmark28" </w:instrText>
      </w:r>
      <w:r>
        <w:fldChar w:fldCharType="separate"/>
      </w:r>
      <w:r>
        <w:rPr>
          <w:sz w:val="24"/>
          <w:vertAlign w:val="superscript"/>
        </w:rPr>
        <w:t>14</w:t>
      </w:r>
      <w:r>
        <w:rPr>
          <w:sz w:val="24"/>
          <w:vertAlign w:val="superscript"/>
        </w:rPr>
        <w:fldChar w:fldCharType="end"/>
      </w:r>
      <w:r>
        <w:rPr>
          <w:sz w:val="24"/>
          <w:vertAlign w:val="superscript"/>
        </w:rPr>
        <w:t>]</w:t>
      </w:r>
      <w:r>
        <w:rPr>
          <w:sz w:val="24"/>
        </w:rPr>
        <w:t>及免疫能力</w:t>
      </w:r>
      <w:r>
        <w:rPr>
          <w:sz w:val="24"/>
          <w:vertAlign w:val="superscript"/>
        </w:rPr>
        <w:fldChar w:fldCharType="begin"/>
      </w:r>
      <w:r>
        <w:rPr>
          <w:sz w:val="24"/>
          <w:vertAlign w:val="superscript"/>
        </w:rPr>
        <w:instrText xml:space="preserve"> HYPERLINK \l "bookmark30"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"bookmark29" </w:instrText>
      </w:r>
      <w:r>
        <w:fldChar w:fldCharType="separate"/>
      </w:r>
      <w:r>
        <w:rPr>
          <w:sz w:val="24"/>
          <w:vertAlign w:val="superscript"/>
        </w:rPr>
        <w:t>16</w:t>
      </w:r>
      <w:r>
        <w:rPr>
          <w:sz w:val="24"/>
          <w:vertAlign w:val="superscript"/>
        </w:rPr>
        <w:fldChar w:fldCharType="end"/>
      </w:r>
      <w:r>
        <w:rPr>
          <w:sz w:val="24"/>
          <w:vertAlign w:val="superscript"/>
        </w:rPr>
        <w:t>]</w:t>
      </w:r>
      <w:r>
        <w:rPr>
          <w:sz w:val="24"/>
        </w:rPr>
        <w:t>等多种生理功能。另有研究表明, 饲料中适宜的异亮氨酸水平</w:t>
      </w:r>
      <w:r>
        <w:rPr>
          <w:rFonts w:hint="eastAsia"/>
          <w:sz w:val="24"/>
        </w:rPr>
        <w:t>能</w:t>
      </w:r>
      <w:r>
        <w:rPr>
          <w:sz w:val="24"/>
        </w:rPr>
        <w:t>显著提高</w:t>
      </w:r>
      <w:r>
        <w:rPr>
          <w:rFonts w:hint="eastAsia"/>
          <w:sz w:val="24"/>
        </w:rPr>
        <w:t>了草鱼</w:t>
      </w:r>
      <w:r>
        <w:rPr>
          <w:sz w:val="24"/>
          <w:vertAlign w:val="superscript"/>
        </w:rPr>
        <w:t>[</w:t>
      </w:r>
      <w:r>
        <w:fldChar w:fldCharType="begin"/>
      </w:r>
      <w:r>
        <w:instrText xml:space="preserve"> HYPERLINK \l "bookmark33" </w:instrText>
      </w:r>
      <w:r>
        <w:fldChar w:fldCharType="separate"/>
      </w:r>
      <w:r>
        <w:rPr>
          <w:sz w:val="24"/>
          <w:vertAlign w:val="superscript"/>
        </w:rPr>
        <w:t>15</w:t>
      </w:r>
      <w:r>
        <w:rPr>
          <w:sz w:val="24"/>
          <w:vertAlign w:val="superscript"/>
        </w:rPr>
        <w:fldChar w:fldCharType="end"/>
      </w:r>
      <w:r>
        <w:rPr>
          <w:sz w:val="24"/>
          <w:vertAlign w:val="superscript"/>
        </w:rPr>
        <w:t>]</w:t>
      </w:r>
      <w:r>
        <w:rPr>
          <w:sz w:val="24"/>
        </w:rPr>
        <w:t>和杂交江鲿</w:t>
      </w:r>
      <w:r>
        <w:rPr>
          <w:rFonts w:hint="eastAsia"/>
          <w:sz w:val="24"/>
        </w:rPr>
        <w:t>（</w:t>
      </w:r>
      <w:r>
        <w:rPr>
          <w:rFonts w:hint="eastAsia"/>
          <w:i/>
          <w:iCs/>
          <w:sz w:val="24"/>
        </w:rPr>
        <w:t>Pelteobagrus vachelli</w:t>
      </w:r>
      <w:r>
        <w:rPr>
          <w:rFonts w:hint="eastAsia"/>
          <w:sz w:val="24"/>
        </w:rPr>
        <w:t xml:space="preserve"> × </w:t>
      </w:r>
      <w:r>
        <w:rPr>
          <w:rFonts w:hint="eastAsia"/>
          <w:i/>
          <w:iCs/>
          <w:sz w:val="24"/>
        </w:rPr>
        <w:t>Leiocassis longirostris</w:t>
      </w:r>
      <w:r>
        <w:rPr>
          <w:rFonts w:hint="eastAsia"/>
          <w:sz w:val="24"/>
        </w:rPr>
        <w:t>）</w:t>
      </w:r>
      <w:r>
        <w:rPr>
          <w:rFonts w:hint="eastAsia"/>
          <w:sz w:val="24"/>
          <w:vertAlign w:val="superscript"/>
        </w:rPr>
        <w:t>[17]</w:t>
      </w:r>
      <w:r>
        <w:rPr>
          <w:sz w:val="24"/>
        </w:rPr>
        <w:t>的摄食量。在仔猪体外研究中表明, 高剂量异亮氨酸能显著提高空肠组织</w:t>
      </w:r>
      <w:r>
        <w:rPr>
          <w:rFonts w:hint="eastAsia"/>
          <w:sz w:val="24"/>
        </w:rPr>
        <w:t>氨基酸感知受体</w:t>
      </w:r>
      <w:r>
        <w:rPr>
          <w:sz w:val="24"/>
        </w:rPr>
        <w:t xml:space="preserve">T1R1/T1R3 </w:t>
      </w:r>
      <w:r>
        <w:rPr>
          <w:rFonts w:hint="eastAsia"/>
          <w:sz w:val="24"/>
        </w:rPr>
        <w:t>(</w:t>
      </w:r>
      <w:r>
        <w:rPr>
          <w:sz w:val="24"/>
        </w:rPr>
        <w:t>Taste receptor type 1/ Taste receptor type 3</w:t>
      </w:r>
      <w:r>
        <w:rPr>
          <w:rFonts w:hint="eastAsia"/>
          <w:sz w:val="24"/>
        </w:rPr>
        <w:t>）</w:t>
      </w:r>
      <w:r>
        <w:rPr>
          <w:sz w:val="24"/>
        </w:rPr>
        <w:t>的基因及蛋白表达水平, 且饱腹激素−胆囊收缩素</w:t>
      </w:r>
      <w:r>
        <w:rPr>
          <w:rFonts w:hint="eastAsia"/>
          <w:sz w:val="24"/>
        </w:rPr>
        <w:t>（</w:t>
      </w:r>
      <w:r>
        <w:rPr>
          <w:sz w:val="24"/>
        </w:rPr>
        <w:t>Cholecystokinin, CCK</w:t>
      </w:r>
      <w:r>
        <w:rPr>
          <w:rFonts w:hint="eastAsia"/>
          <w:sz w:val="24"/>
        </w:rPr>
        <w:t>）</w:t>
      </w:r>
      <w:r>
        <w:rPr>
          <w:sz w:val="24"/>
        </w:rPr>
        <w:t>的基因表达水平上调, 该研究同样证实, 长期饲喂含过量支链氨基酸的日粮能够显著提高脑组织中刺鼠基因相关蛋白</w:t>
      </w:r>
      <w:r>
        <w:rPr>
          <w:rFonts w:hint="eastAsia"/>
          <w:sz w:val="24"/>
        </w:rPr>
        <w:t>（</w:t>
      </w:r>
      <w:r>
        <w:rPr>
          <w:sz w:val="24"/>
        </w:rPr>
        <w:t>Proopiomelanocortin, AGRP</w:t>
      </w:r>
      <w:r>
        <w:rPr>
          <w:rFonts w:hint="eastAsia"/>
          <w:sz w:val="24"/>
        </w:rPr>
        <w:t>）</w:t>
      </w:r>
      <w:r>
        <w:rPr>
          <w:sz w:val="24"/>
        </w:rPr>
        <w:t>和神经肽Y</w:t>
      </w:r>
      <w:r>
        <w:rPr>
          <w:rFonts w:hint="eastAsia"/>
          <w:sz w:val="24"/>
        </w:rPr>
        <w:t>（</w:t>
      </w:r>
      <w:r>
        <w:rPr>
          <w:sz w:val="24"/>
        </w:rPr>
        <w:t>Neuropeptide Y, NPY</w:t>
      </w:r>
      <w:r>
        <w:rPr>
          <w:rFonts w:hint="eastAsia"/>
          <w:sz w:val="24"/>
        </w:rPr>
        <w:t>）</w:t>
      </w:r>
      <w:r>
        <w:rPr>
          <w:sz w:val="24"/>
        </w:rPr>
        <w:t>的表达水平, 进而抑制仔猪的采食量</w:t>
      </w:r>
      <w:r>
        <w:rPr>
          <w:sz w:val="24"/>
          <w:vertAlign w:val="superscript"/>
        </w:rPr>
        <w:t>[</w:t>
      </w:r>
      <w:r>
        <w:fldChar w:fldCharType="begin"/>
      </w:r>
      <w:r>
        <w:instrText xml:space="preserve"> HYPERLINK \l "bookmark36" </w:instrText>
      </w:r>
      <w:r>
        <w:fldChar w:fldCharType="separate"/>
      </w:r>
      <w:r>
        <w:rPr>
          <w:sz w:val="24"/>
          <w:vertAlign w:val="superscript"/>
        </w:rPr>
        <w:t>18</w:t>
      </w:r>
      <w:r>
        <w:rPr>
          <w:sz w:val="24"/>
          <w:vertAlign w:val="superscript"/>
        </w:rPr>
        <w:fldChar w:fldCharType="end"/>
      </w:r>
      <w:r>
        <w:rPr>
          <w:sz w:val="24"/>
          <w:vertAlign w:val="superscript"/>
        </w:rPr>
        <w:t>]</w:t>
      </w:r>
      <w:r>
        <w:rPr>
          <w:sz w:val="24"/>
        </w:rPr>
        <w:t>。然而, 关于异亮氨酸调节鱼类摄食的分子机制尚不清楚, 有待深入探究。</w:t>
      </w:r>
    </w:p>
    <w:p w14:paraId="6F5D27CA">
      <w:pPr>
        <w:spacing w:line="360" w:lineRule="auto"/>
        <w:ind w:firstLine="480" w:firstLineChars="200"/>
        <w:rPr>
          <w:sz w:val="24"/>
        </w:rPr>
      </w:pPr>
      <w:r>
        <w:rPr>
          <w:sz w:val="24"/>
        </w:rPr>
        <w:t>异亮氨酸对鱼类脂肪代谢也发挥重要的调控作用。有研究报道, 饲料中过量的异亮氨酸能够显著增加鱼体脂肪含量</w:t>
      </w:r>
      <w:r>
        <w:rPr>
          <w:sz w:val="24"/>
          <w:vertAlign w:val="superscript"/>
        </w:rPr>
        <w:t>[</w:t>
      </w:r>
      <w:r>
        <w:fldChar w:fldCharType="begin"/>
      </w:r>
      <w:r>
        <w:instrText xml:space="preserve"> HYPERLINK \l "bookmark37" </w:instrText>
      </w:r>
      <w:r>
        <w:fldChar w:fldCharType="separate"/>
      </w:r>
      <w:r>
        <w:rPr>
          <w:sz w:val="24"/>
          <w:vertAlign w:val="superscript"/>
        </w:rPr>
        <w:t>12</w:t>
      </w:r>
      <w:r>
        <w:rPr>
          <w:sz w:val="24"/>
          <w:vertAlign w:val="superscript"/>
        </w:rPr>
        <w:fldChar w:fldCharType="end"/>
      </w:r>
      <w:r>
        <w:rPr>
          <w:sz w:val="24"/>
          <w:vertAlign w:val="superscript"/>
        </w:rPr>
        <w:t xml:space="preserve">, </w:t>
      </w:r>
      <w:r>
        <w:fldChar w:fldCharType="begin"/>
      </w:r>
      <w:r>
        <w:instrText xml:space="preserve"> HYPERLINK \l "bookmark38" </w:instrText>
      </w:r>
      <w:r>
        <w:fldChar w:fldCharType="separate"/>
      </w:r>
      <w:r>
        <w:rPr>
          <w:sz w:val="24"/>
          <w:vertAlign w:val="superscript"/>
        </w:rPr>
        <w:t>14</w:t>
      </w:r>
      <w:r>
        <w:rPr>
          <w:sz w:val="24"/>
          <w:vertAlign w:val="superscript"/>
        </w:rPr>
        <w:fldChar w:fldCharType="end"/>
      </w:r>
      <w:r>
        <w:rPr>
          <w:sz w:val="24"/>
          <w:vertAlign w:val="superscript"/>
        </w:rPr>
        <w:t>]</w:t>
      </w:r>
      <w:r>
        <w:rPr>
          <w:sz w:val="24"/>
        </w:rPr>
        <w:t>。另有研究表明, 饲料异亮氨酸达到一定水平后鱼体脂肪含量显著降低</w:t>
      </w:r>
      <w:r>
        <w:rPr>
          <w:sz w:val="24"/>
          <w:vertAlign w:val="superscript"/>
        </w:rPr>
        <w:t>[</w:t>
      </w:r>
      <w:r>
        <w:fldChar w:fldCharType="begin"/>
      </w:r>
      <w:r>
        <w:instrText xml:space="preserve"> HYPERLINK \l "bookmark39" </w:instrText>
      </w:r>
      <w:r>
        <w:fldChar w:fldCharType="separate"/>
      </w:r>
      <w:r>
        <w:rPr>
          <w:sz w:val="24"/>
          <w:vertAlign w:val="superscript"/>
        </w:rPr>
        <w:t>8</w:t>
      </w:r>
      <w:r>
        <w:rPr>
          <w:sz w:val="24"/>
          <w:vertAlign w:val="superscript"/>
        </w:rPr>
        <w:fldChar w:fldCharType="end"/>
      </w:r>
      <w:r>
        <w:rPr>
          <w:sz w:val="24"/>
          <w:vertAlign w:val="superscript"/>
        </w:rPr>
        <w:t xml:space="preserve">, </w:t>
      </w:r>
      <w:r>
        <w:fldChar w:fldCharType="begin"/>
      </w:r>
      <w:r>
        <w:instrText xml:space="preserve"> HYPERLINK \l "bookmark40" </w:instrText>
      </w:r>
      <w:r>
        <w:fldChar w:fldCharType="separate"/>
      </w:r>
      <w:r>
        <w:rPr>
          <w:sz w:val="24"/>
          <w:vertAlign w:val="superscript"/>
        </w:rPr>
        <w:t>19</w:t>
      </w:r>
      <w:r>
        <w:rPr>
          <w:sz w:val="24"/>
          <w:vertAlign w:val="superscript"/>
        </w:rPr>
        <w:fldChar w:fldCharType="end"/>
      </w:r>
      <w:r>
        <w:rPr>
          <w:sz w:val="24"/>
          <w:vertAlign w:val="superscript"/>
        </w:rPr>
        <w:t xml:space="preserve">, </w:t>
      </w:r>
      <w:r>
        <w:fldChar w:fldCharType="begin"/>
      </w:r>
      <w:r>
        <w:instrText xml:space="preserve"> HYPERLINK \l "bookmark41" </w:instrText>
      </w:r>
      <w:r>
        <w:fldChar w:fldCharType="separate"/>
      </w:r>
      <w:r>
        <w:rPr>
          <w:sz w:val="24"/>
          <w:vertAlign w:val="superscript"/>
        </w:rPr>
        <w:t>20</w:t>
      </w:r>
      <w:r>
        <w:rPr>
          <w:sz w:val="24"/>
          <w:vertAlign w:val="superscript"/>
        </w:rPr>
        <w:fldChar w:fldCharType="end"/>
      </w:r>
      <w:r>
        <w:rPr>
          <w:sz w:val="24"/>
          <w:vertAlign w:val="superscript"/>
        </w:rPr>
        <w:t>]</w:t>
      </w:r>
      <w:r>
        <w:rPr>
          <w:sz w:val="24"/>
        </w:rPr>
        <w:t>。由此可见, 异亮氨酸对鱼类脂代谢的调控可能具有物种特异性。然而, 目前关于异亮氨酸调控鱼类脂代谢的分子机制研究仍较有限, 相关研究仅见于杂交江鲿的报道。该研究发现, 饲料中适宜的异亮氨酸水平可使肌肉中脂肪酸合成酶</w:t>
      </w:r>
      <w:r>
        <w:rPr>
          <w:rFonts w:hint="eastAsia"/>
          <w:sz w:val="24"/>
        </w:rPr>
        <w:t>（</w:t>
      </w:r>
      <w:r>
        <w:rPr>
          <w:sz w:val="24"/>
        </w:rPr>
        <w:t>Fatty Acid Synthase, FAS</w:t>
      </w:r>
      <w:r>
        <w:rPr>
          <w:rFonts w:hint="eastAsia"/>
          <w:sz w:val="24"/>
        </w:rPr>
        <w:t>）</w:t>
      </w:r>
      <w:r>
        <w:rPr>
          <w:sz w:val="24"/>
        </w:rPr>
        <w:t>和乙酰辅酶A羧化酶</w:t>
      </w:r>
      <w:r>
        <w:rPr>
          <w:rFonts w:hint="eastAsia"/>
          <w:sz w:val="24"/>
        </w:rPr>
        <w:t>（</w:t>
      </w:r>
      <w:r>
        <w:rPr>
          <w:sz w:val="24"/>
        </w:rPr>
        <w:t>Acetyl-coa carboxylase, ACC</w:t>
      </w:r>
      <w:r>
        <w:rPr>
          <w:rFonts w:hint="eastAsia"/>
          <w:sz w:val="24"/>
        </w:rPr>
        <w:t>）</w:t>
      </w:r>
      <w:r>
        <w:rPr>
          <w:sz w:val="24"/>
        </w:rPr>
        <w:t>的表达增加, 腺苷酸活化蛋白激酶</w:t>
      </w:r>
      <w:r>
        <w:rPr>
          <w:rFonts w:hint="eastAsia"/>
          <w:sz w:val="24"/>
        </w:rPr>
        <w:t>（</w:t>
      </w:r>
      <w:r>
        <w:rPr>
          <w:sz w:val="24"/>
        </w:rPr>
        <w:t>Adenosine 5ʹ-monophosphate-activated protein kinase, AMPK</w:t>
      </w:r>
      <w:r>
        <w:rPr>
          <w:rFonts w:hint="eastAsia"/>
          <w:sz w:val="24"/>
        </w:rPr>
        <w:t>）</w:t>
      </w:r>
      <w:r>
        <w:rPr>
          <w:sz w:val="24"/>
        </w:rPr>
        <w:t>、过氧化物酶体增殖物激活受体α (Peroxisome</w:t>
      </w:r>
      <w:r>
        <w:rPr>
          <w:rFonts w:hint="eastAsia"/>
          <w:sz w:val="24"/>
        </w:rPr>
        <w:t xml:space="preserve"> </w:t>
      </w:r>
      <w:r>
        <w:rPr>
          <w:sz w:val="24"/>
        </w:rPr>
        <w:t>proliferator-activated</w:t>
      </w:r>
      <w:r>
        <w:rPr>
          <w:rFonts w:hint="eastAsia"/>
          <w:sz w:val="24"/>
        </w:rPr>
        <w:t xml:space="preserve"> </w:t>
      </w:r>
      <w:r>
        <w:rPr>
          <w:sz w:val="24"/>
        </w:rPr>
        <w:t>receptor</w:t>
      </w:r>
      <w:r>
        <w:rPr>
          <w:rFonts w:hint="eastAsia"/>
          <w:sz w:val="24"/>
        </w:rPr>
        <w:t xml:space="preserve"> </w:t>
      </w:r>
      <w:r>
        <w:rPr>
          <w:sz w:val="24"/>
        </w:rPr>
        <w:t>α,PPARα</w:t>
      </w:r>
      <w:r>
        <w:rPr>
          <w:rFonts w:hint="eastAsia"/>
          <w:sz w:val="24"/>
        </w:rPr>
        <w:t>）</w:t>
      </w:r>
      <w:r>
        <w:rPr>
          <w:sz w:val="24"/>
        </w:rPr>
        <w:t xml:space="preserve">、激 </w:t>
      </w:r>
      <w:r>
        <w:rPr>
          <w:rFonts w:hint="eastAsia"/>
          <w:sz w:val="24"/>
        </w:rPr>
        <w:t>素敏感</w:t>
      </w:r>
      <w:r>
        <w:rPr>
          <w:sz w:val="24"/>
        </w:rPr>
        <w:t>性 脂 肪 酶 (Hormone-Sensitive Lipase, HSL</w:t>
      </w:r>
      <w:r>
        <w:rPr>
          <w:rFonts w:hint="eastAsia"/>
          <w:sz w:val="24"/>
        </w:rPr>
        <w:t>）</w:t>
      </w:r>
      <w:r>
        <w:rPr>
          <w:sz w:val="24"/>
        </w:rPr>
        <w:t>和肉碱棕榈酰转移酶-1</w:t>
      </w:r>
      <w:r>
        <w:rPr>
          <w:rFonts w:hint="eastAsia"/>
          <w:sz w:val="24"/>
        </w:rPr>
        <w:t>（</w:t>
      </w:r>
      <w:r>
        <w:rPr>
          <w:sz w:val="24"/>
        </w:rPr>
        <w:t>Carnitine palmitoyl- transferase1, CPT-1</w:t>
      </w:r>
      <w:r>
        <w:rPr>
          <w:rFonts w:hint="eastAsia"/>
          <w:sz w:val="24"/>
        </w:rPr>
        <w:t>）</w:t>
      </w:r>
      <w:r>
        <w:rPr>
          <w:sz w:val="24"/>
        </w:rPr>
        <w:t>的表达降低, 进而降低肌肉脂肪含量</w:t>
      </w:r>
      <w:r>
        <w:rPr>
          <w:sz w:val="24"/>
          <w:vertAlign w:val="superscript"/>
        </w:rPr>
        <w:fldChar w:fldCharType="begin"/>
      </w:r>
      <w:r>
        <w:rPr>
          <w:sz w:val="24"/>
          <w:vertAlign w:val="superscript"/>
        </w:rPr>
        <w:instrText xml:space="preserve"> HYPERLINK \l "bookmark43"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"bookmark42" </w:instrText>
      </w:r>
      <w:r>
        <w:fldChar w:fldCharType="separate"/>
      </w:r>
      <w:r>
        <w:rPr>
          <w:sz w:val="24"/>
          <w:vertAlign w:val="superscript"/>
        </w:rPr>
        <w:t>21</w:t>
      </w:r>
      <w:r>
        <w:rPr>
          <w:sz w:val="24"/>
          <w:vertAlign w:val="superscript"/>
        </w:rPr>
        <w:fldChar w:fldCharType="end"/>
      </w:r>
      <w:r>
        <w:rPr>
          <w:sz w:val="24"/>
          <w:vertAlign w:val="superscript"/>
        </w:rPr>
        <w:t>]</w:t>
      </w:r>
      <w:r>
        <w:rPr>
          <w:sz w:val="24"/>
        </w:rPr>
        <w:t>。综上所述, 在不同鱼类上关于异亮氨酸如何调控脂代谢的研究, 还需进一步探讨。</w:t>
      </w:r>
    </w:p>
    <w:p w14:paraId="63CC5B01">
      <w:pPr>
        <w:spacing w:line="360" w:lineRule="auto"/>
        <w:ind w:firstLine="480" w:firstLineChars="200"/>
        <w:rPr>
          <w:sz w:val="24"/>
        </w:rPr>
      </w:pPr>
      <w:r>
        <w:rPr>
          <w:sz w:val="24"/>
        </w:rPr>
        <w:t>豹纹鳃棘鲈</w:t>
      </w:r>
      <w:r>
        <w:rPr>
          <w:rFonts w:hint="eastAsia"/>
          <w:sz w:val="24"/>
        </w:rPr>
        <w:t>（</w:t>
      </w:r>
      <w:r>
        <w:rPr>
          <w:sz w:val="24"/>
        </w:rPr>
        <w:t>Plectropomus leopardus</w:t>
      </w:r>
      <w:r>
        <w:rPr>
          <w:rFonts w:hint="eastAsia"/>
          <w:sz w:val="24"/>
        </w:rPr>
        <w:t>）</w:t>
      </w:r>
      <w:r>
        <w:rPr>
          <w:sz w:val="24"/>
        </w:rPr>
        <w:t>俗称东星斑, 具有肉质鲜美和体色艳丽的特点, 现已成为我国南方尤其是海南的主养品种之一</w:t>
      </w:r>
      <w:r>
        <w:rPr>
          <w:sz w:val="24"/>
          <w:vertAlign w:val="superscript"/>
        </w:rPr>
        <w:fldChar w:fldCharType="begin"/>
      </w:r>
      <w:r>
        <w:rPr>
          <w:sz w:val="24"/>
          <w:vertAlign w:val="superscript"/>
        </w:rPr>
        <w:instrText xml:space="preserve"> HYPERLINK \l "bookmark45"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"bookmark44" </w:instrText>
      </w:r>
      <w:r>
        <w:fldChar w:fldCharType="separate"/>
      </w:r>
      <w:r>
        <w:rPr>
          <w:sz w:val="24"/>
          <w:vertAlign w:val="superscript"/>
        </w:rPr>
        <w:t>22</w:t>
      </w:r>
      <w:r>
        <w:rPr>
          <w:sz w:val="24"/>
          <w:vertAlign w:val="superscript"/>
        </w:rPr>
        <w:fldChar w:fldCharType="end"/>
      </w:r>
      <w:r>
        <w:rPr>
          <w:sz w:val="24"/>
          <w:vertAlign w:val="superscript"/>
        </w:rPr>
        <w:t>]</w:t>
      </w:r>
      <w:r>
        <w:rPr>
          <w:sz w:val="24"/>
        </w:rPr>
        <w:t>。异亮氨酸作为一种必需氨基酸, 在豹纹鳃棘鲈中的适宜需求量及生理功能尚未明确。因此, 本实验以豹纹鳃棘鲈为实验对象, 探究饲料中不同异亮氨酸水平对其生长、摄食及脂代谢的影响, 进而确定其对饲料异亮氨酸的需求量, 以期完善其氨基酸营养需求数据库, 并为其精准营养调控和高效环保饲料的开发及利用提供参考依据。</w:t>
      </w:r>
    </w:p>
    <w:p w14:paraId="31CC217C">
      <w:pPr>
        <w:rPr>
          <w:spacing w:val="3"/>
          <w:position w:val="-1"/>
          <w:szCs w:val="21"/>
        </w:rPr>
      </w:pPr>
    </w:p>
    <w:p w14:paraId="7F2D7001">
      <w:pPr>
        <w:spacing w:line="360" w:lineRule="auto"/>
        <w:rPr>
          <w:sz w:val="24"/>
        </w:rPr>
      </w:pPr>
      <w:r>
        <w:rPr>
          <w:sz w:val="24"/>
        </w:rPr>
        <w:t>1 材料与方法</w:t>
      </w:r>
    </w:p>
    <w:p w14:paraId="0D2ECE07">
      <w:pPr>
        <w:spacing w:line="360" w:lineRule="auto"/>
        <w:rPr>
          <w:sz w:val="24"/>
        </w:rPr>
      </w:pPr>
      <w:r>
        <w:rPr>
          <w:sz w:val="24"/>
        </w:rPr>
        <w:t>1.1 实验设计与饲料配方</w:t>
      </w:r>
    </w:p>
    <w:p w14:paraId="57A2992A">
      <w:pPr>
        <w:spacing w:line="360" w:lineRule="auto"/>
        <w:ind w:firstLine="480" w:firstLineChars="200"/>
        <w:rPr>
          <w:sz w:val="24"/>
        </w:rPr>
      </w:pPr>
      <w:r>
        <w:rPr>
          <w:sz w:val="24"/>
        </w:rPr>
        <w:t>Nguyen等</w:t>
      </w:r>
      <w:r>
        <w:rPr>
          <w:sz w:val="24"/>
          <w:vertAlign w:val="superscript"/>
        </w:rPr>
        <w:fldChar w:fldCharType="begin"/>
      </w:r>
      <w:r>
        <w:rPr>
          <w:sz w:val="24"/>
          <w:vertAlign w:val="superscript"/>
        </w:rPr>
        <w:instrText xml:space="preserve"> HYPERLINK \l "bookmark47"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"bookmark46" </w:instrText>
      </w:r>
      <w:r>
        <w:fldChar w:fldCharType="separate"/>
      </w:r>
      <w:r>
        <w:rPr>
          <w:sz w:val="24"/>
          <w:vertAlign w:val="superscript"/>
        </w:rPr>
        <w:t>23</w:t>
      </w:r>
      <w:r>
        <w:rPr>
          <w:sz w:val="24"/>
          <w:vertAlign w:val="superscript"/>
        </w:rPr>
        <w:fldChar w:fldCharType="end"/>
      </w:r>
      <w:r>
        <w:rPr>
          <w:sz w:val="24"/>
          <w:vertAlign w:val="superscript"/>
        </w:rPr>
        <w:t>]</w:t>
      </w:r>
      <w:r>
        <w:rPr>
          <w:sz w:val="24"/>
        </w:rPr>
        <w:t>的研究表明, 采用多种水产蛋白原料和少量晶体氨基酸为主的实用饲料, 能使评估结果更贴近实际生产。因此, 本研究以鱼粉、大豆浓缩蛋白及棉籽蛋白作为主要蛋白源, 面粉及α木薯淀粉作为主要糖源, 鱼油作为脂肪源, 配制了7组不同异亮氨酸水平的配合饲料。实验饲料配方及营养成分见</w:t>
      </w:r>
      <w:r>
        <w:rPr>
          <w:sz w:val="24"/>
        </w:rPr>
        <w:fldChar w:fldCharType="begin"/>
      </w:r>
      <w:r>
        <w:rPr>
          <w:sz w:val="24"/>
        </w:rPr>
        <w:instrText xml:space="preserve"> HYPERLINK \l "bookmark48" </w:instrText>
      </w:r>
      <w:r>
        <w:rPr>
          <w:sz w:val="24"/>
        </w:rPr>
        <w:fldChar w:fldCharType="separate"/>
      </w:r>
      <w:r>
        <w:rPr>
          <w:sz w:val="24"/>
        </w:rPr>
        <w:t>表1</w:t>
      </w:r>
      <w:r>
        <w:rPr>
          <w:sz w:val="24"/>
        </w:rPr>
        <w:fldChar w:fldCharType="end"/>
      </w:r>
      <w:r>
        <w:rPr>
          <w:sz w:val="24"/>
        </w:rPr>
        <w:t>。饲料异亮氨酸实测水平分别为1.96%、2.11%、2.29%、2.40%、2.53%、2.68%和2.84%</w:t>
      </w:r>
      <w:r>
        <w:rPr>
          <w:rFonts w:hint="eastAsia"/>
          <w:sz w:val="24"/>
        </w:rPr>
        <w:t>（</w:t>
      </w:r>
      <w:r>
        <w:rPr>
          <w:sz w:val="24"/>
        </w:rPr>
        <w:t>占饲料干重</w:t>
      </w:r>
      <w:r>
        <w:rPr>
          <w:rFonts w:hint="eastAsia"/>
          <w:sz w:val="24"/>
        </w:rPr>
        <w:t>，表2）</w:t>
      </w:r>
      <w:r>
        <w:rPr>
          <w:sz w:val="24"/>
        </w:rPr>
        <w:t>, 相应实验组依次缩写为Ile1.96、Ile2.11、Ile2.29、Ile2.40、Ile2.53、Ile2.68和Ile2.84。</w:t>
      </w:r>
    </w:p>
    <w:p w14:paraId="13DACA0F">
      <w:pPr>
        <w:spacing w:line="360" w:lineRule="auto"/>
        <w:jc w:val="center"/>
        <w:rPr>
          <w:sz w:val="24"/>
        </w:rPr>
      </w:pPr>
      <w:r>
        <w:drawing>
          <wp:inline distT="0" distB="0" distL="114300" distR="114300">
            <wp:extent cx="5337175" cy="4713605"/>
            <wp:effectExtent l="0" t="0" r="9525" b="1079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39"/>
                    <a:stretch>
                      <a:fillRect/>
                    </a:stretch>
                  </pic:blipFill>
                  <pic:spPr>
                    <a:xfrm>
                      <a:off x="0" y="0"/>
                      <a:ext cx="5337175" cy="4713605"/>
                    </a:xfrm>
                    <a:prstGeom prst="rect">
                      <a:avLst/>
                    </a:prstGeom>
                    <a:noFill/>
                    <a:ln>
                      <a:noFill/>
                    </a:ln>
                  </pic:spPr>
                </pic:pic>
              </a:graphicData>
            </a:graphic>
          </wp:inline>
        </w:drawing>
      </w:r>
    </w:p>
    <w:p w14:paraId="4B866735">
      <w:pPr>
        <w:spacing w:line="360" w:lineRule="auto"/>
        <w:jc w:val="center"/>
        <w:rPr>
          <w:sz w:val="24"/>
        </w:rPr>
      </w:pPr>
      <w:r>
        <w:drawing>
          <wp:inline distT="0" distB="0" distL="114300" distR="114300">
            <wp:extent cx="5973445" cy="4764405"/>
            <wp:effectExtent l="0" t="0" r="8255" b="1079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40"/>
                    <a:stretch>
                      <a:fillRect/>
                    </a:stretch>
                  </pic:blipFill>
                  <pic:spPr>
                    <a:xfrm>
                      <a:off x="0" y="0"/>
                      <a:ext cx="5973445" cy="4764405"/>
                    </a:xfrm>
                    <a:prstGeom prst="rect">
                      <a:avLst/>
                    </a:prstGeom>
                    <a:noFill/>
                    <a:ln>
                      <a:noFill/>
                    </a:ln>
                  </pic:spPr>
                </pic:pic>
              </a:graphicData>
            </a:graphic>
          </wp:inline>
        </w:drawing>
      </w:r>
    </w:p>
    <w:p w14:paraId="7E323A36">
      <w:pPr>
        <w:spacing w:line="360" w:lineRule="auto"/>
        <w:ind w:firstLine="480" w:firstLineChars="200"/>
        <w:rPr>
          <w:sz w:val="24"/>
        </w:rPr>
      </w:pPr>
      <w:r>
        <w:rPr>
          <w:sz w:val="24"/>
        </w:rPr>
        <w:t>饲料制作前, 将所有原料粉碎并通过80目筛网,再根据配方准确称取原料。称取的复合维生素、复合矿物质、晶体氨基酸和海藻粉, 充分混合均匀后, 按1﹕2质量比加水进行包被, 形成预混团。随后,依次加入其余原料, 并按2﹕5质量比加水搅拌至均匀。混合物料放入双螺旋杆压条机</w:t>
      </w:r>
      <w:r>
        <w:rPr>
          <w:rFonts w:hint="eastAsia"/>
          <w:sz w:val="24"/>
        </w:rPr>
        <w:t>（</w:t>
      </w:r>
      <w:r>
        <w:rPr>
          <w:sz w:val="24"/>
        </w:rPr>
        <w:t>型号</w:t>
      </w:r>
      <w:r>
        <w:rPr>
          <w:rFonts w:hint="eastAsia"/>
          <w:sz w:val="24"/>
        </w:rPr>
        <w:t>：</w:t>
      </w:r>
      <w:r>
        <w:rPr>
          <w:sz w:val="24"/>
        </w:rPr>
        <w:t>F-75</w:t>
      </w:r>
      <w:r>
        <w:rPr>
          <w:rFonts w:hint="eastAsia"/>
          <w:sz w:val="24"/>
        </w:rPr>
        <w:t>，</w:t>
      </w:r>
      <w:r>
        <w:rPr>
          <w:sz w:val="24"/>
        </w:rPr>
        <w:t>中国</w:t>
      </w:r>
      <w:r>
        <w:rPr>
          <w:rFonts w:hint="eastAsia"/>
          <w:sz w:val="24"/>
        </w:rPr>
        <w:t>）</w:t>
      </w:r>
      <w:r>
        <w:rPr>
          <w:sz w:val="24"/>
        </w:rPr>
        <w:t>, 挤压成直径为2.5 mm的条状饲料</w:t>
      </w:r>
      <w:r>
        <w:rPr>
          <w:rFonts w:hint="eastAsia"/>
          <w:sz w:val="24"/>
        </w:rPr>
        <w:t>，</w:t>
      </w:r>
      <w:r>
        <w:rPr>
          <w:sz w:val="24"/>
        </w:rPr>
        <w:t xml:space="preserve">再经造粒机 </w:t>
      </w:r>
      <w:r>
        <w:rPr>
          <w:rFonts w:hint="eastAsia"/>
          <w:sz w:val="24"/>
        </w:rPr>
        <w:t>（</w:t>
      </w:r>
      <w:r>
        <w:rPr>
          <w:sz w:val="24"/>
        </w:rPr>
        <w:t>型号</w:t>
      </w:r>
      <w:r>
        <w:rPr>
          <w:rFonts w:hint="eastAsia"/>
          <w:sz w:val="24"/>
        </w:rPr>
        <w:t>：</w:t>
      </w:r>
      <w:r>
        <w:rPr>
          <w:sz w:val="24"/>
        </w:rPr>
        <w:t>G-500, 中国</w:t>
      </w:r>
      <w:r>
        <w:rPr>
          <w:rFonts w:hint="eastAsia"/>
          <w:sz w:val="24"/>
        </w:rPr>
        <w:t>）</w:t>
      </w:r>
      <w:r>
        <w:rPr>
          <w:sz w:val="24"/>
        </w:rPr>
        <w:t>制粒。制得的颗粒饲料在16℃条件下风干36h</w:t>
      </w:r>
      <w:r>
        <w:rPr>
          <w:rFonts w:hint="eastAsia"/>
          <w:sz w:val="24"/>
        </w:rPr>
        <w:t>，</w:t>
      </w:r>
      <w:r>
        <w:rPr>
          <w:sz w:val="24"/>
        </w:rPr>
        <w:t>过筛后装袋并储存于–20℃。</w:t>
      </w:r>
    </w:p>
    <w:p w14:paraId="67F02147">
      <w:pPr>
        <w:spacing w:line="360" w:lineRule="auto"/>
        <w:rPr>
          <w:sz w:val="24"/>
        </w:rPr>
      </w:pPr>
      <w:r>
        <w:rPr>
          <w:sz w:val="24"/>
        </w:rPr>
        <w:t>1.2 实验鱼饲养管理</w:t>
      </w:r>
    </w:p>
    <w:p w14:paraId="02397DC8">
      <w:pPr>
        <w:spacing w:line="360" w:lineRule="auto"/>
        <w:ind w:firstLine="480" w:firstLineChars="200"/>
        <w:rPr>
          <w:sz w:val="24"/>
        </w:rPr>
      </w:pPr>
      <w:r>
        <w:rPr>
          <w:sz w:val="24"/>
        </w:rPr>
        <w:t>本实验所用的豹纹鳃棘鲈幼鱼购自海南省儋州市排浦镇育苗厂。在正式养殖实验开始前, 将所有豹纹鳃棘鲈幼鱼置于玻璃缸</w:t>
      </w:r>
      <w:r>
        <w:rPr>
          <w:rFonts w:hint="eastAsia"/>
          <w:sz w:val="24"/>
        </w:rPr>
        <w:t>（</w:t>
      </w:r>
      <w:r>
        <w:rPr>
          <w:sz w:val="24"/>
        </w:rPr>
        <w:t>50 cm×60 cm× 60 cm</w:t>
      </w:r>
      <w:r>
        <w:rPr>
          <w:rFonts w:hint="eastAsia"/>
          <w:sz w:val="24"/>
        </w:rPr>
        <w:t>）</w:t>
      </w:r>
      <w:r>
        <w:rPr>
          <w:sz w:val="24"/>
        </w:rPr>
        <w:t>循环水养殖系统中暂养2周。在此期间, 每天采用商业饲料</w:t>
      </w:r>
      <w:r>
        <w:rPr>
          <w:rFonts w:hint="eastAsia"/>
          <w:sz w:val="24"/>
        </w:rPr>
        <w:t>（</w:t>
      </w:r>
      <w:r>
        <w:rPr>
          <w:sz w:val="24"/>
        </w:rPr>
        <w:t>粗蛋白50%, 粗脂肪10%, 以干物质计</w:t>
      </w:r>
      <w:r>
        <w:rPr>
          <w:rFonts w:hint="eastAsia"/>
          <w:sz w:val="24"/>
        </w:rPr>
        <w:t>）</w:t>
      </w:r>
      <w:r>
        <w:rPr>
          <w:sz w:val="24"/>
        </w:rPr>
        <w:t>投喂豹纹鳃棘鲈幼鱼2次</w:t>
      </w:r>
      <w:r>
        <w:rPr>
          <w:rFonts w:hint="eastAsia"/>
          <w:sz w:val="24"/>
        </w:rPr>
        <w:t>（</w:t>
      </w:r>
      <w:r>
        <w:rPr>
          <w:sz w:val="24"/>
        </w:rPr>
        <w:t>8:00和16:30</w:t>
      </w:r>
      <w:r>
        <w:rPr>
          <w:rFonts w:hint="eastAsia"/>
          <w:sz w:val="24"/>
        </w:rPr>
        <w:t>）</w:t>
      </w:r>
      <w:r>
        <w:rPr>
          <w:sz w:val="24"/>
        </w:rPr>
        <w:t>进行驯化。在驯化结束后, 选取315尾规格接近且健壮的实验鱼</w:t>
      </w:r>
      <w:r>
        <w:rPr>
          <w:rFonts w:hint="eastAsia"/>
          <w:sz w:val="24"/>
        </w:rPr>
        <w:t>（</w:t>
      </w:r>
      <w:r>
        <w:rPr>
          <w:sz w:val="24"/>
        </w:rPr>
        <w:t>34.93±0.27</w:t>
      </w:r>
      <w:r>
        <w:rPr>
          <w:rFonts w:hint="eastAsia"/>
          <w:sz w:val="24"/>
        </w:rPr>
        <w:t>）</w:t>
      </w:r>
      <w:r>
        <w:rPr>
          <w:sz w:val="24"/>
        </w:rPr>
        <w:t>g, 随机平均分入21个玻璃缸,每个缸15尾。每日投喂实验饲料2次</w:t>
      </w:r>
      <w:r>
        <w:rPr>
          <w:rFonts w:hint="eastAsia"/>
          <w:sz w:val="24"/>
        </w:rPr>
        <w:t>（</w:t>
      </w:r>
      <w:r>
        <w:rPr>
          <w:sz w:val="24"/>
        </w:rPr>
        <w:t>8:00和16:30</w:t>
      </w:r>
      <w:r>
        <w:rPr>
          <w:rFonts w:hint="eastAsia"/>
          <w:sz w:val="24"/>
        </w:rPr>
        <w:t>）</w:t>
      </w:r>
      <w:r>
        <w:rPr>
          <w:sz w:val="24"/>
        </w:rPr>
        <w:t xml:space="preserve">,直至实验鱼表观饱食。在投喂30min后, 清除养殖水体中的残饵和粪便。同时, 每日通过水质测定盒 </w:t>
      </w:r>
      <w:r>
        <w:rPr>
          <w:rFonts w:hint="eastAsia"/>
          <w:sz w:val="24"/>
        </w:rPr>
        <w:t>（</w:t>
      </w:r>
      <w:r>
        <w:rPr>
          <w:sz w:val="24"/>
        </w:rPr>
        <w:t>货号</w:t>
      </w:r>
      <w:r>
        <w:rPr>
          <w:rFonts w:hint="eastAsia"/>
          <w:sz w:val="24"/>
        </w:rPr>
        <w:t>：</w:t>
      </w:r>
      <w:r>
        <w:rPr>
          <w:sz w:val="24"/>
        </w:rPr>
        <w:t>Ammonia N Kit, 桑普生化, 中国</w:t>
      </w:r>
      <w:r>
        <w:rPr>
          <w:rFonts w:hint="eastAsia"/>
          <w:sz w:val="24"/>
        </w:rPr>
        <w:t>）</w:t>
      </w:r>
      <w:r>
        <w:rPr>
          <w:sz w:val="24"/>
        </w:rPr>
        <w:t>和便携式多参数水质仪</w:t>
      </w:r>
      <w:r>
        <w:rPr>
          <w:rFonts w:hint="eastAsia"/>
          <w:sz w:val="24"/>
        </w:rPr>
        <w:t>（</w:t>
      </w:r>
      <w:r>
        <w:rPr>
          <w:sz w:val="24"/>
        </w:rPr>
        <w:t>型号</w:t>
      </w:r>
      <w:r>
        <w:rPr>
          <w:rFonts w:hint="eastAsia"/>
          <w:sz w:val="24"/>
        </w:rPr>
        <w:t>：</w:t>
      </w:r>
      <w:r>
        <w:rPr>
          <w:sz w:val="24"/>
        </w:rPr>
        <w:t xml:space="preserve"> ProQuatro, YSI, 美国</w:t>
      </w:r>
      <w:r>
        <w:rPr>
          <w:rFonts w:hint="eastAsia"/>
          <w:sz w:val="24"/>
        </w:rPr>
        <w:t>）</w:t>
      </w:r>
      <w:r>
        <w:rPr>
          <w:sz w:val="24"/>
        </w:rPr>
        <w:t>监测水质 (pH 7.2—7.8、温度28—30℃、盐度30 ‰ —32 ‰、溶解氧质量浓度6.0—6.4 mg/L和氨氮质量浓度小于0.20 mg/L</w:t>
      </w:r>
      <w:r>
        <w:rPr>
          <w:rFonts w:hint="eastAsia"/>
          <w:sz w:val="24"/>
        </w:rPr>
        <w:t>），以</w:t>
      </w:r>
      <w:r>
        <w:rPr>
          <w:sz w:val="24"/>
        </w:rPr>
        <w:t>维持水质</w:t>
      </w:r>
      <w:r>
        <w:rPr>
          <w:rFonts w:hint="eastAsia"/>
          <w:sz w:val="24"/>
        </w:rPr>
        <w:t>稳定</w:t>
      </w:r>
      <w:r>
        <w:rPr>
          <w:sz w:val="24"/>
        </w:rPr>
        <w:t>。光周期设 定为 12h光照与12h黑暗交替, 养殖实验持续9周。</w:t>
      </w:r>
    </w:p>
    <w:p w14:paraId="729B2517">
      <w:pPr>
        <w:spacing w:line="360" w:lineRule="auto"/>
        <w:rPr>
          <w:sz w:val="24"/>
        </w:rPr>
      </w:pPr>
      <w:r>
        <w:rPr>
          <w:sz w:val="24"/>
        </w:rPr>
        <w:t>1.3 样品采集</w:t>
      </w:r>
    </w:p>
    <w:p w14:paraId="44EACF7B">
      <w:pPr>
        <w:spacing w:line="360" w:lineRule="auto"/>
        <w:ind w:firstLine="480" w:firstLineChars="200"/>
        <w:rPr>
          <w:szCs w:val="21"/>
        </w:rPr>
      </w:pPr>
      <w:r>
        <w:rPr>
          <w:sz w:val="24"/>
        </w:rPr>
        <w:t>在养殖实验开始前, 随机选取10尾鱼作为初始样本保存于–20℃, 用于后续的体组成成分分析。在养殖实验结束后, 实验鱼禁食过夜</w:t>
      </w:r>
      <w:r>
        <w:rPr>
          <w:rFonts w:hint="eastAsia"/>
          <w:sz w:val="24"/>
        </w:rPr>
        <w:t>（</w:t>
      </w:r>
      <w:r>
        <w:rPr>
          <w:sz w:val="24"/>
        </w:rPr>
        <w:t>约16h</w:t>
      </w:r>
      <w:r>
        <w:rPr>
          <w:rFonts w:hint="eastAsia"/>
          <w:sz w:val="24"/>
        </w:rPr>
        <w:t>）</w:t>
      </w:r>
      <w:r>
        <w:rPr>
          <w:sz w:val="24"/>
        </w:rPr>
        <w:t>, 记录每个玻璃缸实验鱼的数量与重量。每个玻璃缸随机选取6尾实验鱼, 使用100 mg/L的3-乙氧酰基苯胺甲磺酸盐溶液</w:t>
      </w:r>
      <w:r>
        <w:rPr>
          <w:rFonts w:hint="eastAsia"/>
          <w:sz w:val="24"/>
        </w:rPr>
        <w:t>（</w:t>
      </w:r>
      <w:r>
        <w:rPr>
          <w:sz w:val="24"/>
        </w:rPr>
        <w:t>MS-222, 上海阿拉丁生化科技股份有限公司, 中国</w:t>
      </w:r>
      <w:r>
        <w:rPr>
          <w:rFonts w:hint="eastAsia"/>
          <w:sz w:val="24"/>
        </w:rPr>
        <w:t>）</w:t>
      </w:r>
      <w:r>
        <w:rPr>
          <w:sz w:val="24"/>
        </w:rPr>
        <w:t>进行麻醉。其中</w:t>
      </w:r>
      <w:r>
        <w:rPr>
          <w:rFonts w:hint="eastAsia"/>
          <w:sz w:val="24"/>
        </w:rPr>
        <w:t>，</w:t>
      </w:r>
      <w:r>
        <w:rPr>
          <w:sz w:val="24"/>
        </w:rPr>
        <w:t>3尾实验鱼称重记录后保存于–20℃, 用于后续全鱼组成成分分析</w:t>
      </w:r>
      <w:r>
        <w:rPr>
          <w:rFonts w:hint="eastAsia"/>
          <w:sz w:val="24"/>
        </w:rPr>
        <w:t>；</w:t>
      </w:r>
      <w:r>
        <w:rPr>
          <w:sz w:val="24"/>
        </w:rPr>
        <w:t>另外3尾实验鱼分别称重和测量体长后, 用</w:t>
      </w:r>
      <w:r>
        <w:rPr>
          <w:rFonts w:hint="eastAsia"/>
          <w:sz w:val="24"/>
        </w:rPr>
        <w:t>肝素（</w:t>
      </w:r>
      <w:r>
        <w:rPr>
          <w:sz w:val="24"/>
        </w:rPr>
        <w:t>常州干红生化制药股份有限公司, 中国</w:t>
      </w:r>
      <w:r>
        <w:rPr>
          <w:rFonts w:hint="eastAsia"/>
          <w:sz w:val="24"/>
        </w:rPr>
        <w:t>）</w:t>
      </w:r>
      <w:r>
        <w:rPr>
          <w:sz w:val="24"/>
        </w:rPr>
        <w:t>处理的2 mL一次性无菌注射器</w:t>
      </w:r>
      <w:r>
        <w:rPr>
          <w:rFonts w:hint="eastAsia"/>
          <w:sz w:val="24"/>
        </w:rPr>
        <w:t>（</w:t>
      </w:r>
      <w:r>
        <w:rPr>
          <w:sz w:val="24"/>
        </w:rPr>
        <w:t>武汉王冠医疗器械有限责任公司, 中国</w:t>
      </w:r>
      <w:r>
        <w:rPr>
          <w:rFonts w:hint="eastAsia"/>
          <w:sz w:val="24"/>
        </w:rPr>
        <w:t>）</w:t>
      </w:r>
      <w:r>
        <w:rPr>
          <w:sz w:val="24"/>
        </w:rPr>
        <w:t>采集血样, 随后放入冷冻离心机</w:t>
      </w:r>
      <w:r>
        <w:rPr>
          <w:rFonts w:hint="eastAsia"/>
          <w:sz w:val="24"/>
        </w:rPr>
        <w:t>（</w:t>
      </w:r>
      <w:r>
        <w:rPr>
          <w:sz w:val="24"/>
        </w:rPr>
        <w:t>FC5515R, Hamburg, Germany</w:t>
      </w:r>
      <w:r>
        <w:rPr>
          <w:rFonts w:hint="eastAsia"/>
          <w:sz w:val="24"/>
        </w:rPr>
        <w:t>）</w:t>
      </w:r>
      <w:r>
        <w:rPr>
          <w:sz w:val="24"/>
        </w:rPr>
        <w:t>离心</w:t>
      </w:r>
      <w:r>
        <w:rPr>
          <w:rFonts w:hint="eastAsia"/>
          <w:sz w:val="24"/>
        </w:rPr>
        <w:t>（</w:t>
      </w:r>
      <w:r>
        <w:rPr>
          <w:sz w:val="24"/>
        </w:rPr>
        <w:t>3500 r/min, 4℃,  15min</w:t>
      </w:r>
      <w:r>
        <w:rPr>
          <w:rFonts w:hint="eastAsia"/>
          <w:sz w:val="24"/>
        </w:rPr>
        <w:t>），</w:t>
      </w:r>
      <w:r>
        <w:rPr>
          <w:sz w:val="24"/>
        </w:rPr>
        <w:t>吸取上清液得到血浆保存于冻存管内, 并置于–80℃储存。在血样采集完毕后, 解剖取得每尾鱼的内脏和肝脏进行称重, 并收集脑、肠道和肝脏等组织样品储存于–80℃; 同时收集每尾剩余的肝脏及白肌, 称重记录后封装于密封袋</w:t>
      </w:r>
      <w:r>
        <w:rPr>
          <w:rFonts w:hint="eastAsia"/>
          <w:sz w:val="24"/>
        </w:rPr>
        <w:t>（</w:t>
      </w:r>
      <w:r>
        <w:rPr>
          <w:sz w:val="24"/>
        </w:rPr>
        <w:t>11 cm × 16 cm</w:t>
      </w:r>
      <w:r>
        <w:rPr>
          <w:rFonts w:hint="eastAsia"/>
          <w:sz w:val="24"/>
        </w:rPr>
        <w:t>）</w:t>
      </w:r>
      <w:r>
        <w:rPr>
          <w:sz w:val="24"/>
        </w:rPr>
        <w:t>至–20℃保存, 用于肝脏和肌肉组成成分分析。</w:t>
      </w:r>
    </w:p>
    <w:p w14:paraId="7F267048">
      <w:pPr>
        <w:spacing w:line="360" w:lineRule="auto"/>
        <w:rPr>
          <w:sz w:val="24"/>
        </w:rPr>
      </w:pPr>
      <w:r>
        <w:rPr>
          <w:sz w:val="24"/>
        </w:rPr>
        <w:t>1.4 分析方法</w:t>
      </w:r>
    </w:p>
    <w:p w14:paraId="00AE68C1">
      <w:pPr>
        <w:spacing w:line="360" w:lineRule="auto"/>
        <w:ind w:firstLine="480" w:firstLineChars="200"/>
        <w:rPr>
          <w:sz w:val="24"/>
        </w:rPr>
      </w:pPr>
      <w:r>
        <w:rPr>
          <w:sz w:val="24"/>
        </w:rPr>
        <w:t>饲料、全鱼、肌肉、肝脏营养成分的测定</w:t>
      </w:r>
      <w:r>
        <w:rPr>
          <w:rFonts w:hint="eastAsia"/>
          <w:sz w:val="24"/>
        </w:rPr>
        <w:t xml:space="preserve">  </w:t>
      </w:r>
      <w:r>
        <w:rPr>
          <w:sz w:val="24"/>
        </w:rPr>
        <w:t>粗蛋白和粗脂肪含量分别采用杜马斯燃烧定氮法 (RAP-ID MAXN EXCEED SYSTEM, Germany</w:t>
      </w:r>
      <w:r>
        <w:rPr>
          <w:rFonts w:hint="eastAsia"/>
          <w:sz w:val="24"/>
        </w:rPr>
        <w:t>）</w:t>
      </w:r>
      <w:r>
        <w:rPr>
          <w:sz w:val="24"/>
        </w:rPr>
        <w:t>和索氏提取法</w:t>
      </w:r>
      <w:r>
        <w:rPr>
          <w:rFonts w:hint="eastAsia"/>
          <w:sz w:val="24"/>
        </w:rPr>
        <w:t>（</w:t>
      </w:r>
      <w:r>
        <w:rPr>
          <w:sz w:val="24"/>
        </w:rPr>
        <w:t>ANKOM XT15i Extractor, USA</w:t>
      </w:r>
      <w:r>
        <w:rPr>
          <w:rFonts w:hint="eastAsia"/>
          <w:sz w:val="24"/>
        </w:rPr>
        <w:t>）</w:t>
      </w:r>
      <w:r>
        <w:rPr>
          <w:sz w:val="24"/>
        </w:rPr>
        <w:t>测</w:t>
      </w:r>
      <w:bookmarkStart w:id="52" w:name="bookmark48"/>
      <w:bookmarkEnd w:id="52"/>
      <w:r>
        <w:rPr>
          <w:sz w:val="24"/>
        </w:rPr>
        <w:t>定</w:t>
      </w:r>
      <w:r>
        <w:rPr>
          <w:rFonts w:hint="eastAsia"/>
          <w:sz w:val="24"/>
        </w:rPr>
        <w:t>；</w:t>
      </w:r>
      <w:r>
        <w:rPr>
          <w:sz w:val="24"/>
        </w:rPr>
        <w:t xml:space="preserve"> 水分含量均采用减重法测定, 肝脏使用真空冷冻干燥机</w:t>
      </w:r>
      <w:r>
        <w:rPr>
          <w:rFonts w:hint="eastAsia"/>
          <w:sz w:val="24"/>
        </w:rPr>
        <w:t>（</w:t>
      </w:r>
      <w:r>
        <w:rPr>
          <w:sz w:val="24"/>
        </w:rPr>
        <w:t>LGJ-18, 北京松源华兴科技发展有限公司, 中国</w:t>
      </w:r>
      <w:r>
        <w:rPr>
          <w:rFonts w:hint="eastAsia"/>
          <w:sz w:val="24"/>
        </w:rPr>
        <w:t>）</w:t>
      </w:r>
      <w:r>
        <w:rPr>
          <w:sz w:val="24"/>
        </w:rPr>
        <w:t>冷冻干燥, 饲料、全鱼及肌肉使用电热鼓风干燥箱</w:t>
      </w:r>
      <w:r>
        <w:rPr>
          <w:rFonts w:hint="eastAsia"/>
          <w:sz w:val="24"/>
        </w:rPr>
        <w:t>（</w:t>
      </w:r>
      <w:r>
        <w:rPr>
          <w:sz w:val="24"/>
        </w:rPr>
        <w:t>BGZ-140</w:t>
      </w:r>
      <w:r>
        <w:rPr>
          <w:rFonts w:hint="eastAsia"/>
          <w:sz w:val="24"/>
        </w:rPr>
        <w:t>，</w:t>
      </w:r>
      <w:r>
        <w:rPr>
          <w:sz w:val="24"/>
        </w:rPr>
        <w:t>上海右一</w:t>
      </w:r>
      <w:r>
        <w:rPr>
          <w:rFonts w:hint="eastAsia"/>
          <w:sz w:val="24"/>
        </w:rPr>
        <w:t>，</w:t>
      </w:r>
      <w:r>
        <w:rPr>
          <w:sz w:val="24"/>
        </w:rPr>
        <w:t>中国</w:t>
      </w:r>
      <w:r>
        <w:rPr>
          <w:rFonts w:hint="eastAsia"/>
          <w:sz w:val="24"/>
        </w:rPr>
        <w:t>）</w:t>
      </w:r>
      <w:r>
        <w:rPr>
          <w:sz w:val="24"/>
        </w:rPr>
        <w:t>烘干。</w:t>
      </w:r>
    </w:p>
    <w:p w14:paraId="3DF56B7C">
      <w:pPr>
        <w:spacing w:line="360" w:lineRule="auto"/>
        <w:ind w:firstLine="480" w:firstLineChars="200"/>
        <w:rPr>
          <w:sz w:val="24"/>
        </w:rPr>
      </w:pPr>
      <w:r>
        <w:rPr>
          <w:sz w:val="24"/>
        </w:rPr>
        <w:t>血浆生化指标测定</w:t>
      </w:r>
      <w:r>
        <w:rPr>
          <w:rFonts w:hint="eastAsia"/>
          <w:sz w:val="24"/>
        </w:rPr>
        <w:t xml:space="preserve">  </w:t>
      </w:r>
      <w:r>
        <w:rPr>
          <w:sz w:val="24"/>
        </w:rPr>
        <w:t>血浆生化指标的测定均使用南京建成商用试剂盒测定, 测定的指标包括谷草转氨酶</w:t>
      </w:r>
      <w:r>
        <w:rPr>
          <w:rFonts w:hint="eastAsia"/>
          <w:sz w:val="24"/>
        </w:rPr>
        <w:t>（</w:t>
      </w:r>
      <w:r>
        <w:rPr>
          <w:sz w:val="24"/>
        </w:rPr>
        <w:t>AST</w:t>
      </w:r>
      <w:r>
        <w:rPr>
          <w:rFonts w:hint="eastAsia"/>
          <w:sz w:val="24"/>
        </w:rPr>
        <w:t>；</w:t>
      </w:r>
      <w:r>
        <w:rPr>
          <w:sz w:val="24"/>
        </w:rPr>
        <w:t>货号</w:t>
      </w:r>
      <w:r>
        <w:rPr>
          <w:rFonts w:hint="eastAsia"/>
          <w:sz w:val="24"/>
        </w:rPr>
        <w:t>：</w:t>
      </w:r>
      <w:r>
        <w:rPr>
          <w:sz w:val="24"/>
        </w:rPr>
        <w:t>C010-2-1</w:t>
      </w:r>
      <w:r>
        <w:rPr>
          <w:rFonts w:hint="eastAsia"/>
          <w:sz w:val="24"/>
        </w:rPr>
        <w:t>）</w:t>
      </w:r>
      <w:r>
        <w:rPr>
          <w:sz w:val="24"/>
        </w:rPr>
        <w:t>、谷丙转氨酶</w:t>
      </w:r>
      <w:r>
        <w:rPr>
          <w:rFonts w:hint="eastAsia"/>
          <w:sz w:val="24"/>
        </w:rPr>
        <w:t>（</w:t>
      </w:r>
      <w:r>
        <w:rPr>
          <w:sz w:val="24"/>
        </w:rPr>
        <w:t>ALT</w:t>
      </w:r>
      <w:r>
        <w:rPr>
          <w:rFonts w:hint="eastAsia"/>
          <w:sz w:val="24"/>
        </w:rPr>
        <w:t>；</w:t>
      </w:r>
      <w:r>
        <w:rPr>
          <w:sz w:val="24"/>
        </w:rPr>
        <w:t>货号</w:t>
      </w:r>
      <w:r>
        <w:rPr>
          <w:rFonts w:hint="eastAsia"/>
          <w:sz w:val="24"/>
        </w:rPr>
        <w:t>：</w:t>
      </w:r>
      <w:r>
        <w:rPr>
          <w:sz w:val="24"/>
        </w:rPr>
        <w:t>C009-2-1</w:t>
      </w:r>
      <w:r>
        <w:rPr>
          <w:rFonts w:hint="eastAsia"/>
          <w:sz w:val="24"/>
        </w:rPr>
        <w:t>）</w:t>
      </w:r>
      <w:r>
        <w:rPr>
          <w:sz w:val="24"/>
        </w:rPr>
        <w:t>、总胆固醇</w:t>
      </w:r>
      <w:r>
        <w:rPr>
          <w:rFonts w:hint="eastAsia"/>
          <w:sz w:val="24"/>
        </w:rPr>
        <w:t>（</w:t>
      </w:r>
      <w:r>
        <w:rPr>
          <w:sz w:val="24"/>
        </w:rPr>
        <w:t>T-CHO</w:t>
      </w:r>
      <w:r>
        <w:rPr>
          <w:rFonts w:hint="eastAsia"/>
          <w:sz w:val="24"/>
        </w:rPr>
        <w:t>；</w:t>
      </w:r>
      <w:r>
        <w:rPr>
          <w:sz w:val="24"/>
        </w:rPr>
        <w:t>货号</w:t>
      </w:r>
      <w:r>
        <w:rPr>
          <w:rFonts w:hint="eastAsia"/>
          <w:sz w:val="24"/>
        </w:rPr>
        <w:t>：</w:t>
      </w:r>
      <w:r>
        <w:rPr>
          <w:sz w:val="24"/>
        </w:rPr>
        <w:t>A111-1-1</w:t>
      </w:r>
      <w:r>
        <w:rPr>
          <w:rFonts w:hint="eastAsia"/>
          <w:sz w:val="24"/>
        </w:rPr>
        <w:t>）</w:t>
      </w:r>
      <w:r>
        <w:rPr>
          <w:sz w:val="24"/>
        </w:rPr>
        <w:t>、甘油三酯</w:t>
      </w:r>
      <w:r>
        <w:rPr>
          <w:rFonts w:hint="eastAsia"/>
          <w:sz w:val="24"/>
        </w:rPr>
        <w:t>（</w:t>
      </w:r>
      <w:r>
        <w:rPr>
          <w:sz w:val="24"/>
        </w:rPr>
        <w:t>TG</w:t>
      </w:r>
      <w:r>
        <w:rPr>
          <w:rFonts w:hint="eastAsia"/>
          <w:sz w:val="24"/>
        </w:rPr>
        <w:t>；</w:t>
      </w:r>
      <w:r>
        <w:rPr>
          <w:sz w:val="24"/>
        </w:rPr>
        <w:t>货号</w:t>
      </w:r>
      <w:r>
        <w:rPr>
          <w:rFonts w:hint="eastAsia"/>
          <w:sz w:val="24"/>
        </w:rPr>
        <w:t>：</w:t>
      </w:r>
      <w:r>
        <w:rPr>
          <w:sz w:val="24"/>
        </w:rPr>
        <w:t>A110-1-1</w:t>
      </w:r>
      <w:r>
        <w:rPr>
          <w:rFonts w:hint="eastAsia"/>
          <w:sz w:val="24"/>
        </w:rPr>
        <w:t>）</w:t>
      </w:r>
      <w:r>
        <w:rPr>
          <w:sz w:val="24"/>
        </w:rPr>
        <w:t>、低密度脂蛋白胆固醇</w:t>
      </w:r>
      <w:r>
        <w:rPr>
          <w:rFonts w:hint="eastAsia"/>
          <w:sz w:val="24"/>
        </w:rPr>
        <w:t>（</w:t>
      </w:r>
      <w:r>
        <w:rPr>
          <w:sz w:val="24"/>
        </w:rPr>
        <w:t>LDL-C</w:t>
      </w:r>
      <w:r>
        <w:rPr>
          <w:rFonts w:hint="eastAsia"/>
          <w:sz w:val="24"/>
        </w:rPr>
        <w:t>；</w:t>
      </w:r>
      <w:r>
        <w:rPr>
          <w:sz w:val="24"/>
        </w:rPr>
        <w:t>货号</w:t>
      </w:r>
      <w:r>
        <w:rPr>
          <w:rFonts w:hint="eastAsia"/>
          <w:sz w:val="24"/>
        </w:rPr>
        <w:t>：</w:t>
      </w:r>
      <w:r>
        <w:rPr>
          <w:sz w:val="24"/>
        </w:rPr>
        <w:t>A113-1-1</w:t>
      </w:r>
      <w:r>
        <w:rPr>
          <w:rFonts w:hint="eastAsia"/>
          <w:sz w:val="24"/>
        </w:rPr>
        <w:t>）</w:t>
      </w:r>
      <w:r>
        <w:rPr>
          <w:sz w:val="24"/>
        </w:rPr>
        <w:t>、高密度脂蛋白胆固醇</w:t>
      </w:r>
      <w:r>
        <w:rPr>
          <w:rFonts w:hint="eastAsia"/>
          <w:sz w:val="24"/>
        </w:rPr>
        <w:t>（</w:t>
      </w:r>
      <w:r>
        <w:rPr>
          <w:sz w:val="24"/>
        </w:rPr>
        <w:t>HDL-C</w:t>
      </w:r>
      <w:r>
        <w:rPr>
          <w:rFonts w:hint="eastAsia"/>
          <w:sz w:val="24"/>
        </w:rPr>
        <w:t>；</w:t>
      </w:r>
      <w:r>
        <w:rPr>
          <w:sz w:val="24"/>
        </w:rPr>
        <w:t>货号</w:t>
      </w:r>
      <w:r>
        <w:rPr>
          <w:rFonts w:hint="eastAsia"/>
          <w:sz w:val="24"/>
        </w:rPr>
        <w:t>：</w:t>
      </w:r>
      <w:r>
        <w:rPr>
          <w:sz w:val="24"/>
        </w:rPr>
        <w:t>A112-1-1</w:t>
      </w:r>
      <w:r>
        <w:rPr>
          <w:rFonts w:hint="eastAsia"/>
          <w:sz w:val="24"/>
        </w:rPr>
        <w:t>）</w:t>
      </w:r>
      <w:r>
        <w:rPr>
          <w:sz w:val="24"/>
        </w:rPr>
        <w:t>, 测定操作步骤参照说明书进行。</w:t>
      </w:r>
    </w:p>
    <w:p w14:paraId="0B2956CF">
      <w:pPr>
        <w:spacing w:line="360" w:lineRule="auto"/>
        <w:ind w:firstLine="480" w:firstLineChars="200"/>
        <w:rPr>
          <w:sz w:val="24"/>
        </w:rPr>
      </w:pPr>
      <w:r>
        <w:rPr>
          <w:sz w:val="24"/>
        </w:rPr>
        <w:t>RNA的提取和反转录  使用TRIzol™试剂</w:t>
      </w:r>
      <w:r>
        <w:rPr>
          <w:rFonts w:hint="eastAsia"/>
          <w:sz w:val="24"/>
        </w:rPr>
        <w:t>（</w:t>
      </w:r>
      <w:r>
        <w:rPr>
          <w:sz w:val="24"/>
        </w:rPr>
        <w:t>货号</w:t>
      </w:r>
      <w:r>
        <w:rPr>
          <w:rFonts w:hint="eastAsia"/>
          <w:sz w:val="24"/>
        </w:rPr>
        <w:t>：</w:t>
      </w:r>
      <w:r>
        <w:rPr>
          <w:sz w:val="24"/>
        </w:rPr>
        <w:t>15596026, Invitrogen</w:t>
      </w:r>
      <w:r>
        <w:rPr>
          <w:rFonts w:hint="eastAsia"/>
          <w:sz w:val="24"/>
        </w:rPr>
        <w:t>，</w:t>
      </w:r>
      <w:r>
        <w:rPr>
          <w:sz w:val="24"/>
        </w:rPr>
        <w:t>美国</w:t>
      </w:r>
      <w:r>
        <w:rPr>
          <w:rFonts w:hint="eastAsia"/>
          <w:sz w:val="24"/>
        </w:rPr>
        <w:t>）</w:t>
      </w:r>
      <w:r>
        <w:rPr>
          <w:sz w:val="24"/>
        </w:rPr>
        <w:t>提取脑、肠道和肝脏组织的总RNA。使用1%琼脂糖凝胶电泳检测RNA的完整性。采用超微量紫外可见光分光光度计</w:t>
      </w:r>
      <w:r>
        <w:rPr>
          <w:rFonts w:hint="eastAsia"/>
          <w:sz w:val="24"/>
        </w:rPr>
        <w:t>（</w:t>
      </w:r>
      <w:r>
        <w:rPr>
          <w:sz w:val="24"/>
        </w:rPr>
        <w:t>NanoDrop® ND-1000</w:t>
      </w:r>
      <w:r>
        <w:rPr>
          <w:rFonts w:hint="eastAsia"/>
          <w:sz w:val="24"/>
        </w:rPr>
        <w:t>，</w:t>
      </w:r>
      <w:r>
        <w:rPr>
          <w:sz w:val="24"/>
        </w:rPr>
        <w:t>Thermo Fisher Scientific</w:t>
      </w:r>
      <w:r>
        <w:rPr>
          <w:rFonts w:hint="eastAsia"/>
          <w:sz w:val="24"/>
        </w:rPr>
        <w:t>，</w:t>
      </w:r>
      <w:r>
        <w:rPr>
          <w:sz w:val="24"/>
        </w:rPr>
        <w:t>美国</w:t>
      </w:r>
      <w:r>
        <w:rPr>
          <w:rFonts w:hint="eastAsia"/>
          <w:sz w:val="24"/>
        </w:rPr>
        <w:t>）</w:t>
      </w:r>
      <w:r>
        <w:rPr>
          <w:sz w:val="24"/>
        </w:rPr>
        <w:t>检测RNA的质量和浓度。使用PrimeScript™ RT Reagent Kit with gDNA Eraser 试剂盒</w:t>
      </w:r>
      <w:r>
        <w:rPr>
          <w:rFonts w:hint="eastAsia"/>
          <w:sz w:val="24"/>
        </w:rPr>
        <w:t>（</w:t>
      </w:r>
      <w:r>
        <w:rPr>
          <w:sz w:val="24"/>
        </w:rPr>
        <w:t>货号</w:t>
      </w:r>
      <w:r>
        <w:rPr>
          <w:rFonts w:hint="eastAsia"/>
          <w:sz w:val="24"/>
        </w:rPr>
        <w:t>：</w:t>
      </w:r>
      <w:r>
        <w:rPr>
          <w:sz w:val="24"/>
        </w:rPr>
        <w:t>RR047A</w:t>
      </w:r>
      <w:r>
        <w:rPr>
          <w:rFonts w:hint="eastAsia"/>
          <w:sz w:val="24"/>
        </w:rPr>
        <w:t>，</w:t>
      </w:r>
      <w:r>
        <w:rPr>
          <w:sz w:val="24"/>
        </w:rPr>
        <w:t>TaKaRa</w:t>
      </w:r>
      <w:r>
        <w:rPr>
          <w:rFonts w:hint="eastAsia"/>
          <w:sz w:val="24"/>
        </w:rPr>
        <w:t>，</w:t>
      </w:r>
      <w:r>
        <w:rPr>
          <w:sz w:val="24"/>
        </w:rPr>
        <w:t>日本</w:t>
      </w:r>
      <w:r>
        <w:rPr>
          <w:rFonts w:hint="eastAsia"/>
          <w:sz w:val="24"/>
        </w:rPr>
        <w:t>）</w:t>
      </w:r>
      <w:r>
        <w:rPr>
          <w:sz w:val="24"/>
        </w:rPr>
        <w:t>反转录合成cDNA</w:t>
      </w:r>
      <w:r>
        <w:rPr>
          <w:rFonts w:hint="eastAsia"/>
          <w:sz w:val="24"/>
        </w:rPr>
        <w:t>，</w:t>
      </w:r>
      <w:r>
        <w:rPr>
          <w:sz w:val="24"/>
        </w:rPr>
        <w:t>具体操作参照说明书进行。根据NCBI中的mRNA序列,使用Prime 6.0软件</w:t>
      </w:r>
      <w:r>
        <w:rPr>
          <w:rFonts w:hint="eastAsia"/>
          <w:sz w:val="24"/>
        </w:rPr>
        <w:t>（</w:t>
      </w:r>
      <w:r>
        <w:rPr>
          <w:sz w:val="24"/>
        </w:rPr>
        <w:t>PREMIER Biosoft</w:t>
      </w:r>
      <w:r>
        <w:rPr>
          <w:rFonts w:hint="eastAsia"/>
          <w:sz w:val="24"/>
        </w:rPr>
        <w:t>，</w:t>
      </w:r>
      <w:r>
        <w:rPr>
          <w:sz w:val="24"/>
        </w:rPr>
        <w:t>美国</w:t>
      </w:r>
      <w:r>
        <w:rPr>
          <w:rFonts w:hint="eastAsia"/>
          <w:sz w:val="24"/>
        </w:rPr>
        <w:t>）</w:t>
      </w:r>
      <w:r>
        <w:rPr>
          <w:sz w:val="24"/>
        </w:rPr>
        <w:t>设计基因的引物序列</w:t>
      </w:r>
      <w:r>
        <w:rPr>
          <w:rFonts w:hint="eastAsia"/>
          <w:sz w:val="24"/>
        </w:rPr>
        <w:t>（表3）</w:t>
      </w:r>
      <w:r>
        <w:rPr>
          <w:sz w:val="24"/>
        </w:rPr>
        <w:t>。</w:t>
      </w:r>
    </w:p>
    <w:p w14:paraId="4BF3EB36">
      <w:pPr>
        <w:spacing w:line="360" w:lineRule="auto"/>
        <w:jc w:val="center"/>
        <w:rPr>
          <w:sz w:val="24"/>
        </w:rPr>
      </w:pPr>
      <w:r>
        <w:drawing>
          <wp:inline distT="0" distB="0" distL="114300" distR="114300">
            <wp:extent cx="3106420" cy="7427595"/>
            <wp:effectExtent l="0" t="0" r="5080" b="190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41"/>
                    <a:stretch>
                      <a:fillRect/>
                    </a:stretch>
                  </pic:blipFill>
                  <pic:spPr>
                    <a:xfrm>
                      <a:off x="0" y="0"/>
                      <a:ext cx="3106420" cy="7427595"/>
                    </a:xfrm>
                    <a:prstGeom prst="rect">
                      <a:avLst/>
                    </a:prstGeom>
                    <a:noFill/>
                    <a:ln>
                      <a:noFill/>
                    </a:ln>
                  </pic:spPr>
                </pic:pic>
              </a:graphicData>
            </a:graphic>
          </wp:inline>
        </w:drawing>
      </w:r>
    </w:p>
    <w:p w14:paraId="6793504E">
      <w:pPr>
        <w:spacing w:line="360" w:lineRule="auto"/>
        <w:ind w:firstLine="480" w:firstLineChars="200"/>
        <w:rPr>
          <w:sz w:val="24"/>
        </w:rPr>
      </w:pPr>
      <w:r>
        <w:rPr>
          <w:sz w:val="24"/>
        </w:rPr>
        <w:t>荧光定量PCR (RT-qPCR</w:t>
      </w:r>
      <w:r>
        <w:rPr>
          <w:rFonts w:hint="eastAsia"/>
          <w:sz w:val="24"/>
        </w:rPr>
        <w:t>）</w:t>
      </w:r>
      <w:r>
        <w:rPr>
          <w:sz w:val="24"/>
        </w:rPr>
        <w:t>测定  RT-qPCR反应体系包含cDNA模板1 μL、上下游引物各0.4 μL、TB Green™ Premix Ex Taq™</w:t>
      </w:r>
      <w:r>
        <w:rPr>
          <w:rFonts w:hint="eastAsia"/>
          <w:sz w:val="24"/>
        </w:rPr>
        <w:t>（</w:t>
      </w:r>
      <w:r>
        <w:rPr>
          <w:sz w:val="24"/>
        </w:rPr>
        <w:t>货号</w:t>
      </w:r>
      <w:r>
        <w:rPr>
          <w:rFonts w:hint="eastAsia"/>
          <w:sz w:val="24"/>
        </w:rPr>
        <w:t>：</w:t>
      </w:r>
      <w:r>
        <w:rPr>
          <w:sz w:val="24"/>
        </w:rPr>
        <w:t>RR420A, TaKaRa, 日本</w:t>
      </w:r>
      <w:r>
        <w:rPr>
          <w:rFonts w:hint="eastAsia"/>
          <w:sz w:val="24"/>
        </w:rPr>
        <w:t>）</w:t>
      </w:r>
      <w:r>
        <w:rPr>
          <w:sz w:val="24"/>
        </w:rPr>
        <w:t>5 μL和RNase free dH</w:t>
      </w:r>
      <w:r>
        <w:rPr>
          <w:sz w:val="24"/>
          <w:vertAlign w:val="subscript"/>
        </w:rPr>
        <w:t>2</w:t>
      </w:r>
      <w:r>
        <w:rPr>
          <w:sz w:val="24"/>
        </w:rPr>
        <w:t>O 3.2 μL。使用LightCycler 480 System</w:t>
      </w:r>
      <w:r>
        <w:rPr>
          <w:rFonts w:hint="eastAsia"/>
          <w:sz w:val="24"/>
        </w:rPr>
        <w:t>（</w:t>
      </w:r>
      <w:r>
        <w:rPr>
          <w:sz w:val="24"/>
        </w:rPr>
        <w:t>Roche, 瑞士</w:t>
      </w:r>
      <w:r>
        <w:rPr>
          <w:rFonts w:hint="eastAsia"/>
          <w:sz w:val="24"/>
        </w:rPr>
        <w:t>）</w:t>
      </w:r>
      <w:r>
        <w:rPr>
          <w:sz w:val="24"/>
        </w:rPr>
        <w:t>进行实时定量聚合酶链反应分析基因表达, 运行程序参照TaKaRa公司用户手册设定。每个样本3个重复。引物的扩增效率使用5个不同稀释梯度的同一cDNA样本构建标准曲线</w:t>
      </w:r>
      <w:r>
        <w:rPr>
          <w:rFonts w:hint="eastAsia"/>
          <w:sz w:val="24"/>
        </w:rPr>
        <w:t>，</w:t>
      </w:r>
      <w:r>
        <w:rPr>
          <w:sz w:val="24"/>
        </w:rPr>
        <w:t>通过</w:t>
      </w:r>
      <w:r>
        <w:rPr>
          <w:i/>
          <w:iCs/>
          <w:sz w:val="24"/>
        </w:rPr>
        <w:t>E</w:t>
      </w:r>
      <w:r>
        <w:rPr>
          <w:sz w:val="24"/>
        </w:rPr>
        <w:t>=10</w:t>
      </w:r>
      <w:r>
        <w:rPr>
          <w:sz w:val="24"/>
          <w:vertAlign w:val="superscript"/>
        </w:rPr>
        <w:t>(–1/slope)</w:t>
      </w:r>
      <w:r>
        <w:rPr>
          <w:sz w:val="24"/>
        </w:rPr>
        <w:t>–1计算, 基因的表达水平采用2</w:t>
      </w:r>
      <w:r>
        <w:rPr>
          <w:sz w:val="24"/>
          <w:vertAlign w:val="superscript"/>
        </w:rPr>
        <w:t>–ΔΔCt</w:t>
      </w:r>
      <w:r>
        <w:rPr>
          <w:sz w:val="24"/>
        </w:rPr>
        <w:t>法计算。</w:t>
      </w:r>
    </w:p>
    <w:p w14:paraId="197CAA70">
      <w:pPr>
        <w:spacing w:line="360" w:lineRule="auto"/>
        <w:rPr>
          <w:sz w:val="24"/>
        </w:rPr>
      </w:pPr>
      <w:r>
        <w:rPr>
          <w:sz w:val="24"/>
        </w:rPr>
        <w:t xml:space="preserve">1.5 </w:t>
      </w:r>
      <w:r>
        <w:rPr>
          <w:rFonts w:hint="eastAsia"/>
          <w:sz w:val="24"/>
        </w:rPr>
        <w:t xml:space="preserve"> </w:t>
      </w:r>
      <w:r>
        <w:rPr>
          <w:sz w:val="24"/>
        </w:rPr>
        <w:t>生长性能检测指标与方法</w:t>
      </w:r>
    </w:p>
    <w:p w14:paraId="5EA345F4">
      <w:pPr>
        <w:spacing w:line="360" w:lineRule="auto"/>
        <w:ind w:firstLine="480" w:firstLineChars="200"/>
        <w:rPr>
          <w:sz w:val="24"/>
        </w:rPr>
      </w:pPr>
      <w:r>
        <w:rPr>
          <w:sz w:val="24"/>
        </w:rPr>
        <w:t>增重率</w:t>
      </w:r>
      <w:r>
        <w:rPr>
          <w:rFonts w:hint="eastAsia"/>
          <w:sz w:val="24"/>
        </w:rPr>
        <w:t>（</w:t>
      </w:r>
      <w:r>
        <w:rPr>
          <w:sz w:val="24"/>
        </w:rPr>
        <w:t xml:space="preserve">WGR, %)=100×( W末/n2–W初/n1)/( W初/ </w:t>
      </w:r>
      <w:bookmarkStart w:id="53" w:name="bookmark49"/>
      <w:bookmarkEnd w:id="53"/>
      <w:r>
        <w:rPr>
          <w:sz w:val="24"/>
        </w:rPr>
        <w:t>n1)</w:t>
      </w:r>
    </w:p>
    <w:p w14:paraId="38BF957B">
      <w:pPr>
        <w:spacing w:line="360" w:lineRule="auto"/>
        <w:ind w:firstLine="480" w:firstLineChars="200"/>
        <w:rPr>
          <w:sz w:val="24"/>
        </w:rPr>
      </w:pPr>
      <w:r>
        <w:rPr>
          <w:sz w:val="24"/>
        </w:rPr>
        <w:t>饲料系数(FCR)=Wf/( W末–W初</w:t>
      </w:r>
      <w:r>
        <w:rPr>
          <w:rFonts w:hint="eastAsia"/>
          <w:sz w:val="24"/>
        </w:rPr>
        <w:t>）</w:t>
      </w:r>
    </w:p>
    <w:p w14:paraId="28D6627B">
      <w:pPr>
        <w:spacing w:line="360" w:lineRule="auto"/>
        <w:ind w:firstLine="480" w:firstLineChars="200"/>
        <w:rPr>
          <w:sz w:val="24"/>
        </w:rPr>
      </w:pPr>
      <w:r>
        <w:rPr>
          <w:sz w:val="24"/>
        </w:rPr>
        <w:t>特定生长率</w:t>
      </w:r>
      <w:r>
        <w:rPr>
          <w:rFonts w:hint="eastAsia"/>
          <w:sz w:val="24"/>
        </w:rPr>
        <w:t>（</w:t>
      </w:r>
      <w:r>
        <w:rPr>
          <w:sz w:val="24"/>
        </w:rPr>
        <w:t>SGR, %/d)=[ln(W末/n2)–ln(W初/n1)]/ T×100</w:t>
      </w:r>
    </w:p>
    <w:p w14:paraId="438CD782">
      <w:pPr>
        <w:spacing w:line="360" w:lineRule="auto"/>
        <w:ind w:firstLine="480" w:firstLineChars="200"/>
        <w:rPr>
          <w:sz w:val="24"/>
        </w:rPr>
      </w:pPr>
      <w:r>
        <w:rPr>
          <w:sz w:val="24"/>
        </w:rPr>
        <w:t>每日摄食量[DFI, g/(fish·d)]=Wf/(n2·T</w:t>
      </w:r>
      <w:r>
        <w:rPr>
          <w:rFonts w:hint="eastAsia"/>
          <w:sz w:val="24"/>
        </w:rPr>
        <w:t>）</w:t>
      </w:r>
      <w:r>
        <w:rPr>
          <w:sz w:val="24"/>
        </w:rPr>
        <w:t>蛋白质效率</w:t>
      </w:r>
      <w:r>
        <w:rPr>
          <w:rFonts w:hint="eastAsia"/>
          <w:sz w:val="24"/>
        </w:rPr>
        <w:t>（</w:t>
      </w:r>
      <w:r>
        <w:rPr>
          <w:sz w:val="24"/>
        </w:rPr>
        <w:t>PER, %)=(W末–W初</w:t>
      </w:r>
      <w:r>
        <w:rPr>
          <w:rFonts w:hint="eastAsia"/>
          <w:sz w:val="24"/>
        </w:rPr>
        <w:t>）</w:t>
      </w:r>
      <w:r>
        <w:rPr>
          <w:sz w:val="24"/>
        </w:rPr>
        <w:t>/ Wfp 蛋白质利用效率</w:t>
      </w:r>
      <w:r>
        <w:rPr>
          <w:rFonts w:hint="eastAsia"/>
          <w:sz w:val="24"/>
        </w:rPr>
        <w:t>（</w:t>
      </w:r>
      <w:r>
        <w:rPr>
          <w:sz w:val="24"/>
        </w:rPr>
        <w:t>PPV, %)=100× Wp/ Wfp存活率</w:t>
      </w:r>
      <w:r>
        <w:rPr>
          <w:rFonts w:hint="eastAsia"/>
          <w:sz w:val="24"/>
        </w:rPr>
        <w:t>（</w:t>
      </w:r>
      <w:r>
        <w:rPr>
          <w:sz w:val="24"/>
        </w:rPr>
        <w:t>SR, %)=100×n2/n1</w:t>
      </w:r>
    </w:p>
    <w:p w14:paraId="0D34735E">
      <w:pPr>
        <w:spacing w:line="360" w:lineRule="auto"/>
        <w:ind w:firstLine="480" w:firstLineChars="200"/>
        <w:rPr>
          <w:sz w:val="24"/>
        </w:rPr>
      </w:pPr>
      <w:r>
        <w:rPr>
          <w:sz w:val="24"/>
        </w:rPr>
        <w:t>脏体比(VSI)=100×V/m终</w:t>
      </w:r>
    </w:p>
    <w:p w14:paraId="303A8829">
      <w:pPr>
        <w:spacing w:line="360" w:lineRule="auto"/>
        <w:ind w:firstLine="480" w:firstLineChars="200"/>
        <w:rPr>
          <w:sz w:val="24"/>
        </w:rPr>
      </w:pPr>
      <w:r>
        <w:rPr>
          <w:sz w:val="24"/>
        </w:rPr>
        <w:t>肝体比(HSI)=100×H/m终</w:t>
      </w:r>
    </w:p>
    <w:p w14:paraId="50864A69">
      <w:pPr>
        <w:spacing w:line="360" w:lineRule="auto"/>
        <w:ind w:firstLine="480" w:firstLineChars="200"/>
        <w:rPr>
          <w:sz w:val="24"/>
        </w:rPr>
      </w:pPr>
      <w:r>
        <w:rPr>
          <w:sz w:val="24"/>
        </w:rPr>
        <w:t>肥满度(CF, g/cm3)=100×m终/L3</w:t>
      </w:r>
    </w:p>
    <w:p w14:paraId="4AE17CDB">
      <w:pPr>
        <w:spacing w:line="360" w:lineRule="auto"/>
        <w:ind w:firstLine="480" w:firstLineChars="200"/>
        <w:rPr>
          <w:sz w:val="24"/>
        </w:rPr>
      </w:pPr>
      <w:r>
        <w:rPr>
          <w:sz w:val="24"/>
        </w:rPr>
        <w:t>式中, W初为实验鱼初始总重</w:t>
      </w:r>
      <w:r>
        <w:rPr>
          <w:rFonts w:hint="eastAsia"/>
          <w:sz w:val="24"/>
        </w:rPr>
        <w:t>，</w:t>
      </w:r>
      <w:r>
        <w:rPr>
          <w:sz w:val="24"/>
        </w:rPr>
        <w:t>W末为实验鱼终末总重</w:t>
      </w:r>
      <w:r>
        <w:rPr>
          <w:rFonts w:hint="eastAsia"/>
          <w:sz w:val="24"/>
        </w:rPr>
        <w:t>，</w:t>
      </w:r>
      <w:r>
        <w:rPr>
          <w:sz w:val="24"/>
        </w:rPr>
        <w:t>T为养殖天数</w:t>
      </w:r>
      <w:r>
        <w:rPr>
          <w:rFonts w:hint="eastAsia"/>
          <w:sz w:val="24"/>
        </w:rPr>
        <w:t>，</w:t>
      </w:r>
      <w:r>
        <w:rPr>
          <w:sz w:val="24"/>
        </w:rPr>
        <w:t>Wf为摄入干物质饲料总量</w:t>
      </w:r>
      <w:r>
        <w:rPr>
          <w:rFonts w:hint="eastAsia"/>
          <w:sz w:val="24"/>
        </w:rPr>
        <w:t>，</w:t>
      </w:r>
      <w:r>
        <w:rPr>
          <w:sz w:val="24"/>
        </w:rPr>
        <w:t>Wfp为摄入饲料蛋白总量</w:t>
      </w:r>
      <w:r>
        <w:rPr>
          <w:rFonts w:hint="eastAsia"/>
          <w:sz w:val="24"/>
        </w:rPr>
        <w:t>，</w:t>
      </w:r>
      <w:r>
        <w:rPr>
          <w:sz w:val="24"/>
        </w:rPr>
        <w:t>WP为鱼体蛋白增重</w:t>
      </w:r>
      <w:r>
        <w:rPr>
          <w:rFonts w:hint="eastAsia"/>
          <w:sz w:val="24"/>
        </w:rPr>
        <w:t>，</w:t>
      </w:r>
      <w:r>
        <w:rPr>
          <w:sz w:val="24"/>
        </w:rPr>
        <w:t>m终为实验鱼末期体重</w:t>
      </w:r>
      <w:r>
        <w:rPr>
          <w:rFonts w:hint="eastAsia"/>
          <w:sz w:val="24"/>
        </w:rPr>
        <w:t>，</w:t>
      </w:r>
      <w:r>
        <w:rPr>
          <w:sz w:val="24"/>
        </w:rPr>
        <w:t>V为内脏重量</w:t>
      </w:r>
      <w:r>
        <w:rPr>
          <w:rFonts w:hint="eastAsia"/>
          <w:sz w:val="24"/>
        </w:rPr>
        <w:t>，</w:t>
      </w:r>
      <w:r>
        <w:rPr>
          <w:sz w:val="24"/>
        </w:rPr>
        <w:t>H为肝脏重量</w:t>
      </w:r>
      <w:r>
        <w:rPr>
          <w:rFonts w:hint="eastAsia"/>
          <w:sz w:val="24"/>
        </w:rPr>
        <w:t>，</w:t>
      </w:r>
      <w:r>
        <w:rPr>
          <w:sz w:val="24"/>
        </w:rPr>
        <w:t>L为实验鱼体长</w:t>
      </w:r>
      <w:r>
        <w:rPr>
          <w:rFonts w:hint="eastAsia"/>
          <w:sz w:val="24"/>
        </w:rPr>
        <w:t>，</w:t>
      </w:r>
      <w:r>
        <w:rPr>
          <w:sz w:val="24"/>
        </w:rPr>
        <w:t>n1为实验鱼初始总数</w:t>
      </w:r>
      <w:r>
        <w:rPr>
          <w:rFonts w:hint="eastAsia"/>
          <w:sz w:val="24"/>
        </w:rPr>
        <w:t>，</w:t>
      </w:r>
      <w:r>
        <w:rPr>
          <w:sz w:val="24"/>
        </w:rPr>
        <w:t>n2为实验鱼终末总数。</w:t>
      </w:r>
    </w:p>
    <w:p w14:paraId="477FA7D0">
      <w:pPr>
        <w:spacing w:line="360" w:lineRule="auto"/>
        <w:rPr>
          <w:sz w:val="24"/>
        </w:rPr>
      </w:pPr>
      <w:r>
        <w:rPr>
          <w:sz w:val="24"/>
        </w:rPr>
        <w:t>1.6  数据分析</w:t>
      </w:r>
    </w:p>
    <w:p w14:paraId="0755B0A1">
      <w:pPr>
        <w:spacing w:line="360" w:lineRule="auto"/>
        <w:ind w:firstLine="480" w:firstLineChars="200"/>
        <w:rPr>
          <w:sz w:val="24"/>
        </w:rPr>
      </w:pPr>
      <w:r>
        <w:rPr>
          <w:sz w:val="24"/>
        </w:rPr>
        <w:t>所有研究数据采用“平均值±标准误”表示, 在进行正态性分布和方差齐性检验后</w:t>
      </w:r>
      <w:r>
        <w:rPr>
          <w:rFonts w:hint="eastAsia"/>
          <w:sz w:val="24"/>
        </w:rPr>
        <w:t>，</w:t>
      </w:r>
      <w:r>
        <w:rPr>
          <w:sz w:val="24"/>
        </w:rPr>
        <w:t>再运用SPSS25软件的单因素方差</w:t>
      </w:r>
      <w:r>
        <w:rPr>
          <w:rFonts w:hint="eastAsia"/>
          <w:sz w:val="24"/>
        </w:rPr>
        <w:t>（</w:t>
      </w:r>
      <w:r>
        <w:rPr>
          <w:sz w:val="24"/>
        </w:rPr>
        <w:t>One-way ANOVA</w:t>
      </w:r>
      <w:r>
        <w:rPr>
          <w:rFonts w:hint="eastAsia"/>
          <w:sz w:val="24"/>
        </w:rPr>
        <w:t>）</w:t>
      </w:r>
      <w:r>
        <w:rPr>
          <w:sz w:val="24"/>
        </w:rPr>
        <w:t>和Duncan’s检验方法</w:t>
      </w:r>
      <w:r>
        <w:rPr>
          <w:rFonts w:hint="eastAsia"/>
          <w:sz w:val="24"/>
        </w:rPr>
        <w:t>，</w:t>
      </w:r>
      <w:r>
        <w:rPr>
          <w:sz w:val="24"/>
        </w:rPr>
        <w:t>分析不同组之间的差异是否显著。</w:t>
      </w:r>
      <w:r>
        <w:rPr>
          <w:i/>
          <w:iCs/>
          <w:sz w:val="24"/>
        </w:rPr>
        <w:t>P</w:t>
      </w:r>
      <w:r>
        <w:rPr>
          <w:sz w:val="24"/>
        </w:rPr>
        <w:t>&lt;0.05表示不同处理组间差异性显著。</w:t>
      </w:r>
    </w:p>
    <w:p w14:paraId="7D65D0B3">
      <w:pPr>
        <w:spacing w:line="360" w:lineRule="auto"/>
        <w:rPr>
          <w:sz w:val="24"/>
        </w:rPr>
      </w:pPr>
      <w:r>
        <w:rPr>
          <w:sz w:val="24"/>
        </w:rPr>
        <w:t>2  结果</w:t>
      </w:r>
    </w:p>
    <w:p w14:paraId="4604566B">
      <w:pPr>
        <w:spacing w:line="360" w:lineRule="auto"/>
        <w:rPr>
          <w:sz w:val="24"/>
        </w:rPr>
      </w:pPr>
      <w:r>
        <w:rPr>
          <w:sz w:val="24"/>
        </w:rPr>
        <w:t>2.1  生长性能和饲料利用</w:t>
      </w:r>
    </w:p>
    <w:p w14:paraId="2F741639">
      <w:pPr>
        <w:spacing w:line="360" w:lineRule="auto"/>
        <w:ind w:firstLine="480" w:firstLineChars="200"/>
        <w:rPr>
          <w:sz w:val="24"/>
        </w:rPr>
      </w:pPr>
      <w:r>
        <w:rPr>
          <w:sz w:val="24"/>
        </w:rPr>
        <w:t>如</w:t>
      </w:r>
      <w:r>
        <w:fldChar w:fldCharType="begin"/>
      </w:r>
      <w:r>
        <w:instrText xml:space="preserve"> HYPERLINK \l "bookmark51" </w:instrText>
      </w:r>
      <w:r>
        <w:fldChar w:fldCharType="separate"/>
      </w:r>
      <w:r>
        <w:rPr>
          <w:sz w:val="24"/>
        </w:rPr>
        <w:t>表4</w:t>
      </w:r>
      <w:r>
        <w:rPr>
          <w:sz w:val="24"/>
        </w:rPr>
        <w:fldChar w:fldCharType="end"/>
      </w:r>
      <w:r>
        <w:rPr>
          <w:sz w:val="24"/>
        </w:rPr>
        <w:t>所示</w:t>
      </w:r>
      <w:r>
        <w:rPr>
          <w:rFonts w:hint="eastAsia"/>
          <w:sz w:val="24"/>
        </w:rPr>
        <w:t>，</w:t>
      </w:r>
      <w:r>
        <w:rPr>
          <w:sz w:val="24"/>
        </w:rPr>
        <w:t>不同异亮氨酸水平对豹纹鳃棘鲈SR和PPV无显著影响</w:t>
      </w:r>
      <w:r>
        <w:rPr>
          <w:rFonts w:hint="eastAsia"/>
          <w:sz w:val="24"/>
        </w:rPr>
        <w:t>（</w:t>
      </w:r>
      <w:r>
        <w:rPr>
          <w:i/>
          <w:iCs/>
          <w:sz w:val="24"/>
        </w:rPr>
        <w:t>P</w:t>
      </w:r>
      <w:r>
        <w:rPr>
          <w:sz w:val="24"/>
        </w:rPr>
        <w:t>&gt;0.05</w:t>
      </w:r>
      <w:r>
        <w:rPr>
          <w:rFonts w:hint="eastAsia"/>
          <w:sz w:val="24"/>
        </w:rPr>
        <w:t>），</w:t>
      </w:r>
      <w:r>
        <w:rPr>
          <w:sz w:val="24"/>
        </w:rPr>
        <w:t>但Ile2.84组的PPV低于其他组。豹纹鳃棘鲈WGR、SGR、FCR、DFI和PER在不同异亮氨酸水平组之间具有显著差异</w:t>
      </w:r>
      <w:r>
        <w:rPr>
          <w:rFonts w:hint="eastAsia"/>
          <w:sz w:val="24"/>
        </w:rPr>
        <w:t>（</w:t>
      </w:r>
      <w:r>
        <w:rPr>
          <w:i/>
          <w:iCs/>
          <w:sz w:val="24"/>
        </w:rPr>
        <w:t>P</w:t>
      </w:r>
      <w:r>
        <w:rPr>
          <w:sz w:val="24"/>
        </w:rPr>
        <w:t>&lt;0.05</w:t>
      </w:r>
      <w:r>
        <w:rPr>
          <w:rFonts w:hint="eastAsia"/>
          <w:sz w:val="24"/>
        </w:rPr>
        <w:t>）</w:t>
      </w:r>
      <w:r>
        <w:rPr>
          <w:sz w:val="24"/>
        </w:rPr>
        <w:t>。Ile2.84组WGR、SGR、DFI和PER显著低于其他组</w:t>
      </w:r>
      <w:r>
        <w:rPr>
          <w:rFonts w:hint="eastAsia"/>
          <w:sz w:val="24"/>
        </w:rPr>
        <w:t>（</w:t>
      </w:r>
      <w:r>
        <w:rPr>
          <w:i/>
          <w:iCs/>
          <w:sz w:val="24"/>
        </w:rPr>
        <w:t>P</w:t>
      </w:r>
      <w:r>
        <w:rPr>
          <w:sz w:val="24"/>
        </w:rPr>
        <w:t>&lt;0.05</w:t>
      </w:r>
      <w:r>
        <w:rPr>
          <w:rFonts w:hint="eastAsia"/>
          <w:sz w:val="24"/>
        </w:rPr>
        <w:t>），</w:t>
      </w:r>
      <w:r>
        <w:rPr>
          <w:sz w:val="24"/>
        </w:rPr>
        <w:t>而FCR显著高于其他组</w:t>
      </w:r>
      <w:r>
        <w:rPr>
          <w:rFonts w:hint="eastAsia"/>
          <w:sz w:val="24"/>
        </w:rPr>
        <w:t>（</w:t>
      </w:r>
      <w:r>
        <w:rPr>
          <w:i/>
          <w:iCs/>
          <w:sz w:val="24"/>
        </w:rPr>
        <w:t>P</w:t>
      </w:r>
      <w:r>
        <w:rPr>
          <w:sz w:val="24"/>
        </w:rPr>
        <w:t>&lt; 0.05</w:t>
      </w:r>
      <w:r>
        <w:rPr>
          <w:rFonts w:hint="eastAsia"/>
          <w:sz w:val="24"/>
        </w:rPr>
        <w:t>），</w:t>
      </w:r>
      <w:r>
        <w:rPr>
          <w:sz w:val="24"/>
        </w:rPr>
        <w:t>Ile1.96、Ile2.11、Ile2.29、Ile2.40、Ile2.53和Ile2.68组之间无显著差异</w:t>
      </w:r>
      <w:r>
        <w:rPr>
          <w:rFonts w:hint="eastAsia"/>
          <w:sz w:val="24"/>
        </w:rPr>
        <w:t>（</w:t>
      </w:r>
      <w:r>
        <w:rPr>
          <w:i/>
          <w:iCs/>
          <w:sz w:val="24"/>
        </w:rPr>
        <w:t>P</w:t>
      </w:r>
      <w:r>
        <w:rPr>
          <w:sz w:val="24"/>
        </w:rPr>
        <w:t>&gt;0.05</w:t>
      </w:r>
      <w:r>
        <w:rPr>
          <w:rFonts w:hint="eastAsia"/>
          <w:sz w:val="24"/>
        </w:rPr>
        <w:t>）</w:t>
      </w:r>
      <w:r>
        <w:rPr>
          <w:sz w:val="24"/>
        </w:rPr>
        <w:t>。如</w:t>
      </w:r>
      <w:r>
        <w:rPr>
          <w:sz w:val="24"/>
        </w:rPr>
        <w:fldChar w:fldCharType="begin"/>
      </w:r>
      <w:r>
        <w:rPr>
          <w:sz w:val="24"/>
        </w:rPr>
        <w:instrText xml:space="preserve"> HYPERLINK \l "bookmark52" </w:instrText>
      </w:r>
      <w:r>
        <w:rPr>
          <w:sz w:val="24"/>
        </w:rPr>
        <w:fldChar w:fldCharType="separate"/>
      </w:r>
      <w:r>
        <w:rPr>
          <w:sz w:val="24"/>
        </w:rPr>
        <w:t>图 1</w:t>
      </w:r>
      <w:r>
        <w:rPr>
          <w:sz w:val="24"/>
        </w:rPr>
        <w:fldChar w:fldCharType="end"/>
      </w:r>
      <w:r>
        <w:rPr>
          <w:sz w:val="24"/>
        </w:rPr>
        <w:t>所示</w:t>
      </w:r>
      <w:r>
        <w:rPr>
          <w:rFonts w:hint="eastAsia"/>
          <w:sz w:val="24"/>
        </w:rPr>
        <w:t>，</w:t>
      </w:r>
      <w:r>
        <w:rPr>
          <w:sz w:val="24"/>
        </w:rPr>
        <w:t>以WGR为评价指标</w:t>
      </w:r>
      <w:r>
        <w:rPr>
          <w:rFonts w:hint="eastAsia"/>
          <w:sz w:val="24"/>
        </w:rPr>
        <w:t>，</w:t>
      </w:r>
      <w:r>
        <w:rPr>
          <w:sz w:val="24"/>
        </w:rPr>
        <w:t>经双斜率折线模型分析得出</w:t>
      </w:r>
      <w:r>
        <w:rPr>
          <w:rFonts w:hint="eastAsia"/>
          <w:sz w:val="24"/>
        </w:rPr>
        <w:t>，</w:t>
      </w:r>
      <w:r>
        <w:rPr>
          <w:sz w:val="24"/>
        </w:rPr>
        <w:t>饲料异亮氨酸水平超过2.68%时</w:t>
      </w:r>
      <w:r>
        <w:rPr>
          <w:rFonts w:hint="eastAsia"/>
          <w:sz w:val="24"/>
        </w:rPr>
        <w:t>，</w:t>
      </w:r>
      <w:r>
        <w:rPr>
          <w:sz w:val="24"/>
        </w:rPr>
        <w:t>豹纹鳃棘鲈的生长性能下降。</w:t>
      </w:r>
    </w:p>
    <w:p w14:paraId="138549E6">
      <w:pPr>
        <w:spacing w:line="360" w:lineRule="auto"/>
        <w:jc w:val="center"/>
        <w:rPr>
          <w:sz w:val="24"/>
        </w:rPr>
      </w:pPr>
      <w:r>
        <w:drawing>
          <wp:inline distT="0" distB="0" distL="114300" distR="114300">
            <wp:extent cx="5972175" cy="2347595"/>
            <wp:effectExtent l="0" t="0" r="9525" b="190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42"/>
                    <a:stretch>
                      <a:fillRect/>
                    </a:stretch>
                  </pic:blipFill>
                  <pic:spPr>
                    <a:xfrm>
                      <a:off x="0" y="0"/>
                      <a:ext cx="5972175" cy="2347595"/>
                    </a:xfrm>
                    <a:prstGeom prst="rect">
                      <a:avLst/>
                    </a:prstGeom>
                    <a:noFill/>
                    <a:ln>
                      <a:noFill/>
                    </a:ln>
                  </pic:spPr>
                </pic:pic>
              </a:graphicData>
            </a:graphic>
          </wp:inline>
        </w:drawing>
      </w:r>
    </w:p>
    <w:p w14:paraId="7B70B113">
      <w:pPr>
        <w:spacing w:line="360" w:lineRule="auto"/>
        <w:jc w:val="center"/>
        <w:rPr>
          <w:sz w:val="24"/>
        </w:rPr>
      </w:pPr>
      <w:r>
        <w:drawing>
          <wp:inline distT="0" distB="0" distL="114300" distR="114300">
            <wp:extent cx="4831080" cy="5666105"/>
            <wp:effectExtent l="0" t="0" r="7620" b="1079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43"/>
                    <a:stretch>
                      <a:fillRect/>
                    </a:stretch>
                  </pic:blipFill>
                  <pic:spPr>
                    <a:xfrm>
                      <a:off x="0" y="0"/>
                      <a:ext cx="4831080" cy="5666105"/>
                    </a:xfrm>
                    <a:prstGeom prst="rect">
                      <a:avLst/>
                    </a:prstGeom>
                    <a:noFill/>
                    <a:ln>
                      <a:noFill/>
                    </a:ln>
                  </pic:spPr>
                </pic:pic>
              </a:graphicData>
            </a:graphic>
          </wp:inline>
        </w:drawing>
      </w:r>
    </w:p>
    <w:p w14:paraId="2D4632C5">
      <w:pPr>
        <w:spacing w:line="360" w:lineRule="auto"/>
        <w:rPr>
          <w:sz w:val="24"/>
        </w:rPr>
      </w:pPr>
      <w:r>
        <w:rPr>
          <w:sz w:val="24"/>
        </w:rPr>
        <w:t>2.2  体形态学和全鱼、肌肉、肝脏组成</w:t>
      </w:r>
    </w:p>
    <w:p w14:paraId="7916759F">
      <w:pPr>
        <w:spacing w:line="360" w:lineRule="auto"/>
        <w:ind w:firstLine="480" w:firstLineChars="200"/>
        <w:rPr>
          <w:sz w:val="24"/>
        </w:rPr>
      </w:pPr>
      <w:r>
        <w:rPr>
          <w:sz w:val="24"/>
        </w:rPr>
        <w:t>如</w:t>
      </w:r>
      <w:r>
        <w:fldChar w:fldCharType="begin"/>
      </w:r>
      <w:r>
        <w:instrText xml:space="preserve"> HYPERLINK \l "bookmark53" </w:instrText>
      </w:r>
      <w:r>
        <w:fldChar w:fldCharType="separate"/>
      </w:r>
      <w:r>
        <w:rPr>
          <w:sz w:val="24"/>
        </w:rPr>
        <w:t>表 5</w:t>
      </w:r>
      <w:r>
        <w:rPr>
          <w:sz w:val="24"/>
        </w:rPr>
        <w:fldChar w:fldCharType="end"/>
      </w:r>
      <w:r>
        <w:rPr>
          <w:sz w:val="24"/>
        </w:rPr>
        <w:t>所示</w:t>
      </w:r>
      <w:r>
        <w:rPr>
          <w:rFonts w:hint="eastAsia"/>
          <w:sz w:val="24"/>
        </w:rPr>
        <w:t>，</w:t>
      </w:r>
      <w:r>
        <w:rPr>
          <w:sz w:val="24"/>
        </w:rPr>
        <w:t>不同异亮氨酸水平对豹纹鳃棘鲈VSI、肝脏水分含量、全鱼和肌肉的水分及粗蛋白含量均无显著影响</w:t>
      </w:r>
      <w:r>
        <w:rPr>
          <w:rFonts w:hint="eastAsia"/>
          <w:sz w:val="24"/>
        </w:rPr>
        <w:t>（</w:t>
      </w:r>
      <w:r>
        <w:rPr>
          <w:i/>
          <w:iCs/>
          <w:sz w:val="24"/>
        </w:rPr>
        <w:t>P</w:t>
      </w:r>
      <w:r>
        <w:rPr>
          <w:sz w:val="24"/>
        </w:rPr>
        <w:t>&gt;0.05</w:t>
      </w:r>
      <w:r>
        <w:rPr>
          <w:rFonts w:hint="eastAsia"/>
          <w:sz w:val="24"/>
        </w:rPr>
        <w:t>），</w:t>
      </w:r>
      <w:r>
        <w:rPr>
          <w:sz w:val="24"/>
        </w:rPr>
        <w:t>而HSI、CF、全鱼、肌肉和肝脏粗脂肪含量在不同异亮氨酸水平组之间具有显著差异</w:t>
      </w:r>
      <w:r>
        <w:rPr>
          <w:rFonts w:hint="eastAsia"/>
          <w:sz w:val="24"/>
        </w:rPr>
        <w:t>（</w:t>
      </w:r>
      <w:r>
        <w:rPr>
          <w:rFonts w:hint="eastAsia"/>
          <w:i/>
          <w:iCs/>
          <w:sz w:val="24"/>
        </w:rPr>
        <w:t>P</w:t>
      </w:r>
      <w:r>
        <w:rPr>
          <w:rFonts w:hint="eastAsia"/>
          <w:sz w:val="24"/>
        </w:rPr>
        <w:t>&lt;0.05）</w:t>
      </w:r>
      <w:r>
        <w:rPr>
          <w:sz w:val="24"/>
        </w:rPr>
        <w:t>。Ile2.84组豹纹鳃棘鲈HSI、CF、全鱼、肌肉和肝脏粗脂肪含量显著低于其他组</w:t>
      </w:r>
      <w:r>
        <w:rPr>
          <w:rFonts w:hint="eastAsia"/>
          <w:sz w:val="24"/>
        </w:rPr>
        <w:t>（</w:t>
      </w:r>
      <w:r>
        <w:rPr>
          <w:i/>
          <w:iCs/>
          <w:sz w:val="24"/>
        </w:rPr>
        <w:t>P</w:t>
      </w:r>
      <w:r>
        <w:rPr>
          <w:sz w:val="24"/>
        </w:rPr>
        <w:t>&lt;0.05</w:t>
      </w:r>
      <w:r>
        <w:rPr>
          <w:rFonts w:hint="eastAsia"/>
          <w:sz w:val="24"/>
        </w:rPr>
        <w:t>），</w:t>
      </w:r>
      <w:r>
        <w:rPr>
          <w:sz w:val="24"/>
        </w:rPr>
        <w:t>而Ile1.96、Ile2.11、Ile2.29、Ile2.40、 Ile2.53和Ile2.68组之间无显著差异</w:t>
      </w:r>
      <w:r>
        <w:rPr>
          <w:rFonts w:hint="eastAsia"/>
          <w:sz w:val="24"/>
        </w:rPr>
        <w:t>（</w:t>
      </w:r>
      <w:r>
        <w:rPr>
          <w:i/>
          <w:iCs/>
          <w:sz w:val="24"/>
        </w:rPr>
        <w:t>P</w:t>
      </w:r>
      <w:r>
        <w:rPr>
          <w:sz w:val="24"/>
        </w:rPr>
        <w:t>&gt;0.05</w:t>
      </w:r>
      <w:r>
        <w:rPr>
          <w:rFonts w:hint="eastAsia"/>
          <w:sz w:val="24"/>
        </w:rPr>
        <w:t>）</w:t>
      </w:r>
      <w:r>
        <w:rPr>
          <w:sz w:val="24"/>
        </w:rPr>
        <w:t>。</w:t>
      </w:r>
    </w:p>
    <w:p w14:paraId="6DAB4E98">
      <w:pPr>
        <w:spacing w:line="360" w:lineRule="auto"/>
        <w:rPr>
          <w:sz w:val="24"/>
        </w:rPr>
      </w:pPr>
      <w:r>
        <w:drawing>
          <wp:inline distT="0" distB="0" distL="114300" distR="114300">
            <wp:extent cx="5975985" cy="3465830"/>
            <wp:effectExtent l="0" t="0" r="5715" b="127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44"/>
                    <a:stretch>
                      <a:fillRect/>
                    </a:stretch>
                  </pic:blipFill>
                  <pic:spPr>
                    <a:xfrm>
                      <a:off x="0" y="0"/>
                      <a:ext cx="5975985" cy="3465830"/>
                    </a:xfrm>
                    <a:prstGeom prst="rect">
                      <a:avLst/>
                    </a:prstGeom>
                    <a:noFill/>
                    <a:ln>
                      <a:noFill/>
                    </a:ln>
                  </pic:spPr>
                </pic:pic>
              </a:graphicData>
            </a:graphic>
          </wp:inline>
        </w:drawing>
      </w:r>
    </w:p>
    <w:p w14:paraId="5FF3048B">
      <w:pPr>
        <w:spacing w:line="360" w:lineRule="auto"/>
        <w:rPr>
          <w:sz w:val="24"/>
        </w:rPr>
      </w:pPr>
      <w:r>
        <w:drawing>
          <wp:inline distT="0" distB="0" distL="114300" distR="114300">
            <wp:extent cx="5975985" cy="1794510"/>
            <wp:effectExtent l="0" t="0" r="5715" b="889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45"/>
                    <a:stretch>
                      <a:fillRect/>
                    </a:stretch>
                  </pic:blipFill>
                  <pic:spPr>
                    <a:xfrm>
                      <a:off x="0" y="0"/>
                      <a:ext cx="5975985" cy="1794510"/>
                    </a:xfrm>
                    <a:prstGeom prst="rect">
                      <a:avLst/>
                    </a:prstGeom>
                    <a:noFill/>
                    <a:ln>
                      <a:noFill/>
                    </a:ln>
                  </pic:spPr>
                </pic:pic>
              </a:graphicData>
            </a:graphic>
          </wp:inline>
        </w:drawing>
      </w:r>
    </w:p>
    <w:p w14:paraId="090234EC">
      <w:pPr>
        <w:spacing w:line="360" w:lineRule="auto"/>
        <w:rPr>
          <w:sz w:val="24"/>
        </w:rPr>
      </w:pPr>
      <w:r>
        <w:rPr>
          <w:sz w:val="24"/>
        </w:rPr>
        <w:t>2.3  血浆生化指标</w:t>
      </w:r>
    </w:p>
    <w:p w14:paraId="34B4EED8">
      <w:pPr>
        <w:spacing w:line="360" w:lineRule="auto"/>
        <w:ind w:firstLine="480" w:firstLineChars="200"/>
        <w:rPr>
          <w:sz w:val="24"/>
        </w:rPr>
      </w:pPr>
      <w:r>
        <w:rPr>
          <w:sz w:val="24"/>
        </w:rPr>
        <w:t>如</w:t>
      </w:r>
      <w:r>
        <w:fldChar w:fldCharType="begin"/>
      </w:r>
      <w:r>
        <w:instrText xml:space="preserve"> HYPERLINK \l "bookmark54" </w:instrText>
      </w:r>
      <w:r>
        <w:fldChar w:fldCharType="separate"/>
      </w:r>
      <w:r>
        <w:rPr>
          <w:sz w:val="24"/>
        </w:rPr>
        <w:t>表 6</w:t>
      </w:r>
      <w:r>
        <w:rPr>
          <w:sz w:val="24"/>
        </w:rPr>
        <w:fldChar w:fldCharType="end"/>
      </w:r>
      <w:r>
        <w:rPr>
          <w:sz w:val="24"/>
        </w:rPr>
        <w:t>所示</w:t>
      </w:r>
      <w:r>
        <w:rPr>
          <w:rFonts w:hint="eastAsia"/>
          <w:sz w:val="24"/>
        </w:rPr>
        <w:t>，</w:t>
      </w:r>
      <w:r>
        <w:rPr>
          <w:sz w:val="24"/>
        </w:rPr>
        <w:t>各实验组间豹纹鳃棘鲈血浆中TG、T-CHO、HDL-C和LDL-C的水平均受到不同异亮氨酸水平的显著影响</w:t>
      </w:r>
      <w:r>
        <w:rPr>
          <w:rFonts w:hint="eastAsia"/>
          <w:sz w:val="24"/>
        </w:rPr>
        <w:t>（</w:t>
      </w:r>
      <w:r>
        <w:rPr>
          <w:i/>
          <w:iCs/>
          <w:sz w:val="24"/>
        </w:rPr>
        <w:t>P</w:t>
      </w:r>
      <w:r>
        <w:rPr>
          <w:sz w:val="24"/>
        </w:rPr>
        <w:t>&lt;0.05</w:t>
      </w:r>
      <w:r>
        <w:rPr>
          <w:rFonts w:hint="eastAsia"/>
          <w:sz w:val="24"/>
        </w:rPr>
        <w:t>），</w:t>
      </w:r>
      <w:r>
        <w:rPr>
          <w:sz w:val="24"/>
        </w:rPr>
        <w:t>但豹纹鳃棘鲈血浆AST和ALT活性在不同异亮氨酸水平组之间无显著影响</w:t>
      </w:r>
      <w:r>
        <w:rPr>
          <w:rFonts w:hint="eastAsia"/>
          <w:sz w:val="24"/>
        </w:rPr>
        <w:t>（</w:t>
      </w:r>
      <w:r>
        <w:rPr>
          <w:rFonts w:hint="eastAsia"/>
          <w:i/>
          <w:iCs/>
          <w:sz w:val="24"/>
        </w:rPr>
        <w:t>P</w:t>
      </w:r>
      <w:r>
        <w:rPr>
          <w:rFonts w:hint="eastAsia"/>
          <w:sz w:val="24"/>
        </w:rPr>
        <w:t>&gt;0.05）</w:t>
      </w:r>
      <w:r>
        <w:rPr>
          <w:sz w:val="24"/>
        </w:rPr>
        <w:t>。与其他组相比, Ile2.84组豹纹鳃棘鲈血浆TG、T-CHO和LDL-C的水平显著低于其他组</w:t>
      </w:r>
      <w:r>
        <w:rPr>
          <w:rFonts w:hint="eastAsia"/>
          <w:sz w:val="24"/>
        </w:rPr>
        <w:t>（</w:t>
      </w:r>
      <w:r>
        <w:rPr>
          <w:i/>
          <w:iCs/>
          <w:sz w:val="24"/>
        </w:rPr>
        <w:t>P</w:t>
      </w:r>
      <w:r>
        <w:rPr>
          <w:sz w:val="24"/>
        </w:rPr>
        <w:t>&lt;0.05</w:t>
      </w:r>
      <w:r>
        <w:rPr>
          <w:rFonts w:hint="eastAsia"/>
          <w:sz w:val="24"/>
        </w:rPr>
        <w:t>），</w:t>
      </w:r>
      <w:r>
        <w:rPr>
          <w:sz w:val="24"/>
        </w:rPr>
        <w:t>而HDL-C的水平显著高于其他组</w:t>
      </w:r>
      <w:r>
        <w:rPr>
          <w:rFonts w:hint="eastAsia"/>
          <w:sz w:val="24"/>
        </w:rPr>
        <w:t>（</w:t>
      </w:r>
      <w:r>
        <w:rPr>
          <w:i/>
          <w:iCs/>
          <w:sz w:val="24"/>
        </w:rPr>
        <w:t>P</w:t>
      </w:r>
      <w:r>
        <w:rPr>
          <w:sz w:val="24"/>
        </w:rPr>
        <w:t>&lt;0.05</w:t>
      </w:r>
      <w:r>
        <w:rPr>
          <w:rFonts w:hint="eastAsia"/>
          <w:sz w:val="24"/>
        </w:rPr>
        <w:t>），</w:t>
      </w:r>
      <w:r>
        <w:rPr>
          <w:sz w:val="24"/>
        </w:rPr>
        <w:t>Ile1.96、Ile2.11、Ile2.29、Ile2.40、Ile2.53和Ile2.68组之间无显著差异</w:t>
      </w:r>
      <w:r>
        <w:rPr>
          <w:rFonts w:hint="eastAsia"/>
          <w:sz w:val="24"/>
        </w:rPr>
        <w:t>（</w:t>
      </w:r>
      <w:r>
        <w:rPr>
          <w:i/>
          <w:iCs/>
          <w:sz w:val="24"/>
        </w:rPr>
        <w:t>P</w:t>
      </w:r>
      <w:r>
        <w:rPr>
          <w:sz w:val="24"/>
        </w:rPr>
        <w:t>&gt;0.05</w:t>
      </w:r>
      <w:r>
        <w:rPr>
          <w:rFonts w:hint="eastAsia"/>
          <w:sz w:val="24"/>
        </w:rPr>
        <w:t>）</w:t>
      </w:r>
      <w:r>
        <w:rPr>
          <w:sz w:val="24"/>
        </w:rPr>
        <w:t>。</w:t>
      </w:r>
    </w:p>
    <w:p w14:paraId="1C3B9549">
      <w:pPr>
        <w:spacing w:line="360" w:lineRule="auto"/>
        <w:rPr>
          <w:sz w:val="24"/>
        </w:rPr>
      </w:pPr>
      <w:r>
        <w:rPr>
          <w:sz w:val="24"/>
        </w:rPr>
        <w:t>2.4  肠道和脑组织摄食相关基因的表达</w:t>
      </w:r>
    </w:p>
    <w:p w14:paraId="34DAC991">
      <w:pPr>
        <w:spacing w:line="360" w:lineRule="auto"/>
        <w:ind w:firstLine="480" w:firstLineChars="200"/>
        <w:rPr>
          <w:sz w:val="24"/>
        </w:rPr>
      </w:pPr>
      <w:r>
        <w:rPr>
          <w:sz w:val="24"/>
        </w:rPr>
        <w:t>如</w:t>
      </w:r>
      <w:r>
        <w:fldChar w:fldCharType="begin"/>
      </w:r>
      <w:r>
        <w:instrText xml:space="preserve">HYPERLINK \l "bookmark55"</w:instrText>
      </w:r>
      <w:r>
        <w:fldChar w:fldCharType="separate"/>
      </w:r>
      <w:r>
        <w:rPr>
          <w:sz w:val="24"/>
        </w:rPr>
        <w:t>图 2</w:t>
      </w:r>
      <w:r>
        <w:fldChar w:fldCharType="end"/>
      </w:r>
      <w:r>
        <w:rPr>
          <w:sz w:val="24"/>
        </w:rPr>
        <w:t>所示</w:t>
      </w:r>
      <w:r>
        <w:rPr>
          <w:rFonts w:hint="eastAsia"/>
          <w:sz w:val="24"/>
        </w:rPr>
        <w:t>，</w:t>
      </w:r>
      <w:r>
        <w:rPr>
          <w:sz w:val="24"/>
        </w:rPr>
        <w:t>不同异亮氨酸水平对豹纹鳃棘鲈脑组织</w:t>
      </w:r>
      <w:r>
        <w:rPr>
          <w:i/>
          <w:iCs/>
          <w:sz w:val="24"/>
        </w:rPr>
        <w:t>npy</w:t>
      </w:r>
      <w:r>
        <w:rPr>
          <w:sz w:val="24"/>
        </w:rPr>
        <w:t>及肠道</w:t>
      </w:r>
      <w:r>
        <w:rPr>
          <w:i/>
          <w:iCs/>
          <w:sz w:val="24"/>
        </w:rPr>
        <w:t>t1r1</w:t>
      </w:r>
      <w:r>
        <w:rPr>
          <w:sz w:val="24"/>
        </w:rPr>
        <w:t>、</w:t>
      </w:r>
      <w:r>
        <w:rPr>
          <w:i/>
          <w:iCs/>
          <w:sz w:val="24"/>
        </w:rPr>
        <w:t>t1r3</w:t>
      </w:r>
      <w:r>
        <w:rPr>
          <w:sz w:val="24"/>
        </w:rPr>
        <w:t>、</w:t>
      </w:r>
      <w:r>
        <w:rPr>
          <w:i/>
          <w:iCs/>
          <w:sz w:val="24"/>
        </w:rPr>
        <w:t>cck</w:t>
      </w:r>
      <w:r>
        <w:rPr>
          <w:sz w:val="24"/>
        </w:rPr>
        <w:t>的表达水平具有显著影响</w:t>
      </w:r>
      <w:r>
        <w:rPr>
          <w:rFonts w:hint="eastAsia"/>
          <w:sz w:val="24"/>
        </w:rPr>
        <w:t>（</w:t>
      </w:r>
      <w:r>
        <w:rPr>
          <w:rFonts w:hint="eastAsia"/>
          <w:i/>
          <w:iCs/>
          <w:sz w:val="24"/>
        </w:rPr>
        <w:t>P</w:t>
      </w:r>
      <w:r>
        <w:rPr>
          <w:rFonts w:hint="eastAsia"/>
          <w:sz w:val="24"/>
        </w:rPr>
        <w:t>&lt;0.05）</w:t>
      </w:r>
      <w:r>
        <w:rPr>
          <w:sz w:val="24"/>
        </w:rPr>
        <w:t>。Ile2.84组与其他组相比</w:t>
      </w:r>
      <w:r>
        <w:rPr>
          <w:rFonts w:hint="eastAsia"/>
          <w:sz w:val="24"/>
        </w:rPr>
        <w:t>，</w:t>
      </w:r>
      <w:r>
        <w:rPr>
          <w:sz w:val="24"/>
        </w:rPr>
        <w:t>豹纹鳃棘鲈肠道</w:t>
      </w:r>
      <w:r>
        <w:rPr>
          <w:i/>
          <w:iCs/>
          <w:sz w:val="24"/>
        </w:rPr>
        <w:t>t1r1</w:t>
      </w:r>
      <w:r>
        <w:rPr>
          <w:sz w:val="24"/>
        </w:rPr>
        <w:t>、</w:t>
      </w:r>
      <w:r>
        <w:rPr>
          <w:i/>
          <w:iCs/>
          <w:sz w:val="24"/>
        </w:rPr>
        <w:t>t1r3</w:t>
      </w:r>
      <w:r>
        <w:rPr>
          <w:sz w:val="24"/>
        </w:rPr>
        <w:t>和</w:t>
      </w:r>
      <w:r>
        <w:rPr>
          <w:i/>
          <w:iCs/>
          <w:sz w:val="24"/>
        </w:rPr>
        <w:t>cck</w:t>
      </w:r>
      <w:r>
        <w:rPr>
          <w:sz w:val="24"/>
        </w:rPr>
        <w:t>及脑</w:t>
      </w:r>
      <w:r>
        <w:rPr>
          <w:i/>
          <w:iCs/>
          <w:sz w:val="24"/>
        </w:rPr>
        <w:t>npy</w:t>
      </w:r>
      <w:r>
        <w:rPr>
          <w:sz w:val="24"/>
        </w:rPr>
        <w:t>的表达水平显著升高</w:t>
      </w:r>
      <w:r>
        <w:rPr>
          <w:rFonts w:hint="eastAsia"/>
          <w:sz w:val="24"/>
        </w:rPr>
        <w:t>（</w:t>
      </w:r>
      <w:r>
        <w:rPr>
          <w:i/>
          <w:iCs/>
          <w:sz w:val="24"/>
        </w:rPr>
        <w:t>P</w:t>
      </w:r>
      <w:r>
        <w:rPr>
          <w:sz w:val="24"/>
        </w:rPr>
        <w:t>&lt;0.05</w:t>
      </w:r>
      <w:r>
        <w:rPr>
          <w:rFonts w:hint="eastAsia"/>
          <w:sz w:val="24"/>
        </w:rPr>
        <w:t>），</w:t>
      </w:r>
      <w:r>
        <w:rPr>
          <w:sz w:val="24"/>
        </w:rPr>
        <w:t>Ile1.96、Ile2.11、Ile2.29、Ile2.40、Ile2.53和Ile2.68组间无显著差异</w:t>
      </w:r>
      <w:r>
        <w:rPr>
          <w:rFonts w:hint="eastAsia"/>
          <w:sz w:val="24"/>
        </w:rPr>
        <w:t>（</w:t>
      </w:r>
      <w:r>
        <w:rPr>
          <w:i/>
          <w:iCs/>
          <w:sz w:val="24"/>
        </w:rPr>
        <w:t>P</w:t>
      </w:r>
      <w:r>
        <w:rPr>
          <w:sz w:val="24"/>
        </w:rPr>
        <w:t>&gt;0.05</w:t>
      </w:r>
      <w:r>
        <w:rPr>
          <w:rFonts w:hint="eastAsia"/>
          <w:sz w:val="24"/>
        </w:rPr>
        <w:t>）</w:t>
      </w:r>
      <w:r>
        <w:rPr>
          <w:sz w:val="24"/>
        </w:rPr>
        <w:t>。脑组织</w:t>
      </w:r>
      <w:r>
        <w:rPr>
          <w:i/>
          <w:iCs/>
          <w:sz w:val="24"/>
        </w:rPr>
        <w:t>agrp</w:t>
      </w:r>
      <w:r>
        <w:rPr>
          <w:sz w:val="24"/>
        </w:rPr>
        <w:t>和</w:t>
      </w:r>
      <w:r>
        <w:rPr>
          <w:i/>
          <w:iCs/>
          <w:sz w:val="24"/>
        </w:rPr>
        <w:t>pomc</w:t>
      </w:r>
      <w:r>
        <w:rPr>
          <w:sz w:val="24"/>
        </w:rPr>
        <w:t>的表达水平在各实验组间无显著差异</w:t>
      </w:r>
      <w:r>
        <w:rPr>
          <w:rFonts w:hint="eastAsia"/>
          <w:sz w:val="24"/>
        </w:rPr>
        <w:t>（</w:t>
      </w:r>
      <w:r>
        <w:rPr>
          <w:i/>
          <w:iCs/>
          <w:sz w:val="24"/>
        </w:rPr>
        <w:t>P</w:t>
      </w:r>
      <w:r>
        <w:rPr>
          <w:sz w:val="24"/>
        </w:rPr>
        <w:t>&gt;0.05</w:t>
      </w:r>
      <w:r>
        <w:rPr>
          <w:rFonts w:hint="eastAsia"/>
          <w:sz w:val="24"/>
        </w:rPr>
        <w:t>）</w:t>
      </w:r>
      <w:r>
        <w:rPr>
          <w:sz w:val="24"/>
        </w:rPr>
        <w:t>。</w:t>
      </w:r>
    </w:p>
    <w:p w14:paraId="4873946B">
      <w:pPr>
        <w:spacing w:line="360" w:lineRule="auto"/>
        <w:rPr>
          <w:sz w:val="24"/>
        </w:rPr>
      </w:pPr>
      <w:r>
        <w:drawing>
          <wp:inline distT="0" distB="0" distL="114300" distR="114300">
            <wp:extent cx="5972175" cy="3579495"/>
            <wp:effectExtent l="0" t="0" r="9525" b="190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46"/>
                    <a:stretch>
                      <a:fillRect/>
                    </a:stretch>
                  </pic:blipFill>
                  <pic:spPr>
                    <a:xfrm>
                      <a:off x="0" y="0"/>
                      <a:ext cx="5972175" cy="3579495"/>
                    </a:xfrm>
                    <a:prstGeom prst="rect">
                      <a:avLst/>
                    </a:prstGeom>
                    <a:noFill/>
                    <a:ln>
                      <a:noFill/>
                    </a:ln>
                  </pic:spPr>
                </pic:pic>
              </a:graphicData>
            </a:graphic>
          </wp:inline>
        </w:drawing>
      </w:r>
    </w:p>
    <w:p w14:paraId="1511B76C">
      <w:pPr>
        <w:spacing w:line="360" w:lineRule="auto"/>
        <w:rPr>
          <w:sz w:val="24"/>
        </w:rPr>
      </w:pPr>
      <w:r>
        <w:rPr>
          <w:sz w:val="24"/>
        </w:rPr>
        <w:t>2.5  肝脏脂代谢相关基因的表达</w:t>
      </w:r>
    </w:p>
    <w:p w14:paraId="63B668F3">
      <w:pPr>
        <w:spacing w:line="360" w:lineRule="auto"/>
        <w:ind w:firstLine="480" w:firstLineChars="200"/>
        <w:rPr>
          <w:sz w:val="24"/>
        </w:rPr>
      </w:pPr>
      <w:r>
        <w:rPr>
          <w:sz w:val="24"/>
        </w:rPr>
        <w:t>如</w:t>
      </w:r>
      <w:r>
        <w:fldChar w:fldCharType="begin"/>
      </w:r>
      <w:r>
        <w:instrText xml:space="preserve">HYPERLINK \l "bookmark56"</w:instrText>
      </w:r>
      <w:r>
        <w:fldChar w:fldCharType="separate"/>
      </w:r>
      <w:r>
        <w:rPr>
          <w:sz w:val="24"/>
        </w:rPr>
        <w:t>图 3</w:t>
      </w:r>
      <w:r>
        <w:fldChar w:fldCharType="end"/>
      </w:r>
      <w:r>
        <w:rPr>
          <w:sz w:val="24"/>
        </w:rPr>
        <w:t>所示</w:t>
      </w:r>
      <w:r>
        <w:rPr>
          <w:rFonts w:hint="eastAsia"/>
          <w:sz w:val="24"/>
        </w:rPr>
        <w:t>，</w:t>
      </w:r>
      <w:r>
        <w:rPr>
          <w:sz w:val="24"/>
        </w:rPr>
        <w:t>不同异亮氨酸水平对豹纹鳃棘鲈肝脏中</w:t>
      </w:r>
      <w:r>
        <w:rPr>
          <w:i/>
          <w:iCs/>
          <w:sz w:val="24"/>
        </w:rPr>
        <w:t>ampkα</w:t>
      </w:r>
      <w:r>
        <w:rPr>
          <w:sz w:val="24"/>
        </w:rPr>
        <w:t>、</w:t>
      </w:r>
      <w:r>
        <w:rPr>
          <w:i/>
          <w:iCs/>
          <w:sz w:val="24"/>
        </w:rPr>
        <w:t>pparα</w:t>
      </w:r>
      <w:r>
        <w:rPr>
          <w:sz w:val="24"/>
        </w:rPr>
        <w:t>、</w:t>
      </w:r>
      <w:r>
        <w:rPr>
          <w:i/>
          <w:iCs/>
          <w:sz w:val="24"/>
        </w:rPr>
        <w:t>hsl</w:t>
      </w:r>
      <w:r>
        <w:rPr>
          <w:sz w:val="24"/>
        </w:rPr>
        <w:t>、</w:t>
      </w:r>
      <w:r>
        <w:rPr>
          <w:i/>
          <w:iCs/>
          <w:sz w:val="24"/>
        </w:rPr>
        <w:t>cpt-1</w:t>
      </w:r>
      <w:r>
        <w:rPr>
          <w:sz w:val="24"/>
        </w:rPr>
        <w:t>、</w:t>
      </w:r>
      <w:r>
        <w:rPr>
          <w:i/>
          <w:iCs/>
          <w:sz w:val="24"/>
        </w:rPr>
        <w:t>fas</w:t>
      </w:r>
      <w:r>
        <w:rPr>
          <w:sz w:val="24"/>
        </w:rPr>
        <w:t>和</w:t>
      </w:r>
      <w:r>
        <w:rPr>
          <w:i/>
          <w:iCs/>
          <w:sz w:val="24"/>
        </w:rPr>
        <w:t>acc1α</w:t>
      </w:r>
      <w:r>
        <w:rPr>
          <w:sz w:val="24"/>
        </w:rPr>
        <w:t>的表达水平均具有显著影响</w:t>
      </w:r>
      <w:r>
        <w:rPr>
          <w:rFonts w:hint="eastAsia"/>
          <w:sz w:val="24"/>
        </w:rPr>
        <w:t>（</w:t>
      </w:r>
      <w:r>
        <w:rPr>
          <w:i/>
          <w:iCs/>
          <w:sz w:val="24"/>
        </w:rPr>
        <w:t>P</w:t>
      </w:r>
      <w:r>
        <w:rPr>
          <w:sz w:val="24"/>
        </w:rPr>
        <w:t>&lt;0.05</w:t>
      </w:r>
      <w:r>
        <w:rPr>
          <w:rFonts w:hint="eastAsia"/>
          <w:sz w:val="24"/>
        </w:rPr>
        <w:t>）</w:t>
      </w:r>
      <w:r>
        <w:rPr>
          <w:sz w:val="24"/>
        </w:rPr>
        <w:t>。与其他组相比</w:t>
      </w:r>
      <w:r>
        <w:rPr>
          <w:rFonts w:hint="eastAsia"/>
          <w:sz w:val="24"/>
        </w:rPr>
        <w:t>，</w:t>
      </w:r>
      <w:r>
        <w:rPr>
          <w:sz w:val="24"/>
        </w:rPr>
        <w:t>Ile2.84</w:t>
      </w:r>
      <w:r>
        <w:rPr>
          <w:rFonts w:hint="eastAsia"/>
          <w:sz w:val="24"/>
        </w:rPr>
        <w:t>组豹纹鳃棘鲈肝脏</w:t>
      </w:r>
      <w:r>
        <w:rPr>
          <w:i/>
          <w:iCs/>
          <w:sz w:val="24"/>
        </w:rPr>
        <w:t>fas</w:t>
      </w:r>
      <w:r>
        <w:rPr>
          <w:rFonts w:hint="eastAsia"/>
          <w:sz w:val="24"/>
        </w:rPr>
        <w:t>和</w:t>
      </w:r>
      <w:r>
        <w:rPr>
          <w:i/>
          <w:iCs/>
          <w:sz w:val="24"/>
        </w:rPr>
        <w:t>acc1α</w:t>
      </w:r>
      <w:r>
        <w:rPr>
          <w:rFonts w:hint="eastAsia"/>
          <w:sz w:val="24"/>
        </w:rPr>
        <w:t>的表达水平</w:t>
      </w:r>
      <w:r>
        <w:rPr>
          <w:sz w:val="24"/>
        </w:rPr>
        <w:t>显著</w:t>
      </w:r>
      <w:r>
        <w:rPr>
          <w:rFonts w:hint="eastAsia"/>
          <w:sz w:val="24"/>
        </w:rPr>
        <w:t>下降（</w:t>
      </w:r>
      <w:r>
        <w:rPr>
          <w:i/>
          <w:iCs/>
          <w:sz w:val="24"/>
        </w:rPr>
        <w:t>P</w:t>
      </w:r>
      <w:r>
        <w:rPr>
          <w:sz w:val="24"/>
        </w:rPr>
        <w:t>&lt;0.05</w:t>
      </w:r>
      <w:r>
        <w:rPr>
          <w:rFonts w:hint="eastAsia"/>
          <w:sz w:val="24"/>
        </w:rPr>
        <w:t>）</w:t>
      </w:r>
      <w:r>
        <w:rPr>
          <w:sz w:val="24"/>
        </w:rPr>
        <w:t>, 肝脏</w:t>
      </w:r>
      <w:r>
        <w:rPr>
          <w:i/>
          <w:iCs/>
          <w:sz w:val="24"/>
        </w:rPr>
        <w:t>ampkα</w:t>
      </w:r>
      <w:r>
        <w:rPr>
          <w:sz w:val="24"/>
        </w:rPr>
        <w:t>、</w:t>
      </w:r>
      <w:r>
        <w:rPr>
          <w:i/>
          <w:iCs/>
          <w:sz w:val="24"/>
        </w:rPr>
        <w:t>pparα</w:t>
      </w:r>
      <w:r>
        <w:rPr>
          <w:sz w:val="24"/>
        </w:rPr>
        <w:t>、</w:t>
      </w:r>
      <w:r>
        <w:rPr>
          <w:i/>
          <w:iCs/>
          <w:sz w:val="24"/>
        </w:rPr>
        <w:t>hsl</w:t>
      </w:r>
      <w:r>
        <w:rPr>
          <w:sz w:val="24"/>
        </w:rPr>
        <w:t>和</w:t>
      </w:r>
      <w:r>
        <w:rPr>
          <w:i/>
          <w:iCs/>
          <w:sz w:val="24"/>
        </w:rPr>
        <w:t>cpt-1</w:t>
      </w:r>
      <w:r>
        <w:rPr>
          <w:sz w:val="24"/>
        </w:rPr>
        <w:t>的表达水平显著上升</w:t>
      </w:r>
      <w:r>
        <w:rPr>
          <w:rFonts w:hint="eastAsia"/>
          <w:sz w:val="24"/>
        </w:rPr>
        <w:t>（</w:t>
      </w:r>
      <w:r>
        <w:rPr>
          <w:i/>
          <w:iCs/>
          <w:sz w:val="24"/>
        </w:rPr>
        <w:t>P</w:t>
      </w:r>
      <w:r>
        <w:rPr>
          <w:sz w:val="24"/>
        </w:rPr>
        <w:t>&lt;0.05</w:t>
      </w:r>
      <w:r>
        <w:rPr>
          <w:rFonts w:hint="eastAsia"/>
          <w:sz w:val="24"/>
        </w:rPr>
        <w:t>），</w:t>
      </w:r>
      <w:r>
        <w:rPr>
          <w:sz w:val="24"/>
        </w:rPr>
        <w:t>Ile1.96、Ile2.11、Ile2.29、Ile2.40</w:t>
      </w:r>
      <w:r>
        <w:rPr>
          <w:rFonts w:hint="eastAsia"/>
          <w:sz w:val="24"/>
        </w:rPr>
        <w:t>、Ile2.53</w:t>
      </w:r>
      <w:r>
        <w:rPr>
          <w:sz w:val="24"/>
        </w:rPr>
        <w:t>和Ile2.68组之间无显著差异</w:t>
      </w:r>
      <w:r>
        <w:rPr>
          <w:rFonts w:hint="eastAsia"/>
          <w:sz w:val="24"/>
        </w:rPr>
        <w:t>（</w:t>
      </w:r>
      <w:r>
        <w:rPr>
          <w:i/>
          <w:iCs/>
          <w:sz w:val="24"/>
        </w:rPr>
        <w:t>P</w:t>
      </w:r>
      <w:r>
        <w:rPr>
          <w:sz w:val="24"/>
        </w:rPr>
        <w:t>&gt;0.05</w:t>
      </w:r>
      <w:r>
        <w:rPr>
          <w:rFonts w:hint="eastAsia"/>
          <w:sz w:val="24"/>
        </w:rPr>
        <w:t>）。</w:t>
      </w:r>
    </w:p>
    <w:p w14:paraId="67E50D63">
      <w:pPr>
        <w:spacing w:line="360" w:lineRule="auto"/>
        <w:rPr>
          <w:sz w:val="24"/>
        </w:rPr>
      </w:pPr>
      <w:r>
        <w:drawing>
          <wp:inline distT="0" distB="0" distL="114300" distR="114300">
            <wp:extent cx="5975985" cy="3493770"/>
            <wp:effectExtent l="0" t="0" r="5715" b="1143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47"/>
                    <a:stretch>
                      <a:fillRect/>
                    </a:stretch>
                  </pic:blipFill>
                  <pic:spPr>
                    <a:xfrm>
                      <a:off x="0" y="0"/>
                      <a:ext cx="5975985" cy="3493770"/>
                    </a:xfrm>
                    <a:prstGeom prst="rect">
                      <a:avLst/>
                    </a:prstGeom>
                    <a:noFill/>
                    <a:ln>
                      <a:noFill/>
                    </a:ln>
                  </pic:spPr>
                </pic:pic>
              </a:graphicData>
            </a:graphic>
          </wp:inline>
        </w:drawing>
      </w:r>
    </w:p>
    <w:p w14:paraId="593F8A5F">
      <w:pPr>
        <w:spacing w:line="360" w:lineRule="auto"/>
        <w:rPr>
          <w:sz w:val="24"/>
        </w:rPr>
      </w:pPr>
      <w:r>
        <w:rPr>
          <w:sz w:val="24"/>
        </w:rPr>
        <w:t>3  讨论</w:t>
      </w:r>
    </w:p>
    <w:p w14:paraId="75AC3E91">
      <w:pPr>
        <w:spacing w:line="360" w:lineRule="auto"/>
        <w:rPr>
          <w:sz w:val="24"/>
        </w:rPr>
      </w:pPr>
      <w:r>
        <w:rPr>
          <w:sz w:val="24"/>
        </w:rPr>
        <w:t xml:space="preserve">3.1 </w:t>
      </w:r>
      <w:r>
        <w:rPr>
          <w:rFonts w:hint="eastAsia"/>
          <w:sz w:val="24"/>
        </w:rPr>
        <w:t xml:space="preserve"> </w:t>
      </w:r>
      <w:r>
        <w:rPr>
          <w:sz w:val="24"/>
        </w:rPr>
        <w:t>饲料异亮氨酸水平对豹纹鳃棘鲈生长性能的影响</w:t>
      </w:r>
    </w:p>
    <w:p w14:paraId="6BE93BA1">
      <w:pPr>
        <w:spacing w:line="360" w:lineRule="auto"/>
        <w:ind w:firstLine="480" w:firstLineChars="200"/>
        <w:rPr>
          <w:sz w:val="24"/>
        </w:rPr>
      </w:pPr>
      <w:r>
        <w:rPr>
          <w:sz w:val="24"/>
        </w:rPr>
        <w:t>在鱼类营养学中</w:t>
      </w:r>
      <w:r>
        <w:rPr>
          <w:rFonts w:hint="eastAsia"/>
          <w:sz w:val="24"/>
        </w:rPr>
        <w:t>，</w:t>
      </w:r>
      <w:r>
        <w:rPr>
          <w:sz w:val="24"/>
        </w:rPr>
        <w:t>通常采用剂量效应试验</w:t>
      </w:r>
      <w:r>
        <w:rPr>
          <w:rFonts w:hint="eastAsia"/>
          <w:sz w:val="24"/>
        </w:rPr>
        <w:t>，</w:t>
      </w:r>
      <w:r>
        <w:rPr>
          <w:sz w:val="24"/>
        </w:rPr>
        <w:t>并结合回归模型分析生长指标</w:t>
      </w:r>
      <w:r>
        <w:rPr>
          <w:rFonts w:hint="eastAsia"/>
          <w:sz w:val="24"/>
        </w:rPr>
        <w:t>（</w:t>
      </w:r>
      <w:r>
        <w:rPr>
          <w:sz w:val="24"/>
        </w:rPr>
        <w:t>如增重率</w:t>
      </w:r>
      <w:r>
        <w:rPr>
          <w:rFonts w:hint="eastAsia"/>
          <w:sz w:val="24"/>
        </w:rPr>
        <w:t>，</w:t>
      </w:r>
      <w:r>
        <w:rPr>
          <w:sz w:val="24"/>
        </w:rPr>
        <w:t>WGR</w:t>
      </w:r>
      <w:r>
        <w:rPr>
          <w:rFonts w:hint="eastAsia"/>
          <w:sz w:val="24"/>
        </w:rPr>
        <w:t>）</w:t>
      </w:r>
      <w:r>
        <w:rPr>
          <w:sz w:val="24"/>
        </w:rPr>
        <w:t>与饲料氨基酸水平的响应关系来评估鱼类必需氨基酸的需求量</w:t>
      </w:r>
      <w:r>
        <w:rPr>
          <w:sz w:val="24"/>
          <w:vertAlign w:val="superscript"/>
        </w:rPr>
        <w:fldChar w:fldCharType="begin"/>
      </w:r>
      <w:r>
        <w:rPr>
          <w:sz w:val="24"/>
          <w:vertAlign w:val="superscript"/>
        </w:rPr>
        <w:instrText xml:space="preserve"> HYPERLINK \l "bookmark59" </w:instrText>
      </w:r>
      <w:r>
        <w:rPr>
          <w:sz w:val="24"/>
          <w:vertAlign w:val="superscript"/>
        </w:rPr>
        <w:fldChar w:fldCharType="separate"/>
      </w:r>
      <w:r>
        <w:rPr>
          <w:sz w:val="24"/>
          <w:vertAlign w:val="superscript"/>
        </w:rPr>
        <w:t>[4</w:t>
      </w:r>
      <w:r>
        <w:rPr>
          <w:sz w:val="24"/>
          <w:vertAlign w:val="superscript"/>
        </w:rPr>
        <w:fldChar w:fldCharType="end"/>
      </w:r>
      <w:r>
        <w:rPr>
          <w:sz w:val="24"/>
          <w:vertAlign w:val="superscript"/>
        </w:rPr>
        <w:t xml:space="preserve">, </w:t>
      </w:r>
      <w:r>
        <w:fldChar w:fldCharType="begin"/>
      </w:r>
      <w:r>
        <w:instrText xml:space="preserve"> HYPERLINK \l "bookmark57" </w:instrText>
      </w:r>
      <w:r>
        <w:fldChar w:fldCharType="separate"/>
      </w:r>
      <w:r>
        <w:rPr>
          <w:sz w:val="24"/>
          <w:vertAlign w:val="superscript"/>
        </w:rPr>
        <w:t>24</w:t>
      </w:r>
      <w:r>
        <w:rPr>
          <w:sz w:val="24"/>
          <w:vertAlign w:val="superscript"/>
        </w:rPr>
        <w:fldChar w:fldCharType="end"/>
      </w:r>
      <w:r>
        <w:rPr>
          <w:sz w:val="24"/>
          <w:vertAlign w:val="superscript"/>
        </w:rPr>
        <w:t xml:space="preserve">, </w:t>
      </w:r>
      <w:r>
        <w:fldChar w:fldCharType="begin"/>
      </w:r>
      <w:r>
        <w:instrText xml:space="preserve"> HYPERLINK \l "bookmark58" </w:instrText>
      </w:r>
      <w:r>
        <w:fldChar w:fldCharType="separate"/>
      </w:r>
      <w:r>
        <w:rPr>
          <w:sz w:val="24"/>
          <w:vertAlign w:val="superscript"/>
        </w:rPr>
        <w:t>25</w:t>
      </w:r>
      <w:r>
        <w:rPr>
          <w:sz w:val="24"/>
          <w:vertAlign w:val="superscript"/>
        </w:rPr>
        <w:fldChar w:fldCharType="end"/>
      </w:r>
      <w:r>
        <w:rPr>
          <w:sz w:val="24"/>
          <w:vertAlign w:val="superscript"/>
        </w:rPr>
        <w:t>]</w:t>
      </w:r>
      <w:r>
        <w:rPr>
          <w:sz w:val="24"/>
        </w:rPr>
        <w:t>。本研究以WGR为评价指标</w:t>
      </w:r>
      <w:r>
        <w:rPr>
          <w:rFonts w:hint="eastAsia"/>
          <w:sz w:val="24"/>
        </w:rPr>
        <w:t>，</w:t>
      </w:r>
      <w:r>
        <w:rPr>
          <w:sz w:val="24"/>
        </w:rPr>
        <w:t>经双斜率折线模型分析证实了配合饲料中1.96%—2.68%异亮氨酸</w:t>
      </w:r>
      <w:r>
        <w:rPr>
          <w:rFonts w:hint="eastAsia"/>
          <w:sz w:val="24"/>
        </w:rPr>
        <w:t>（占饲料干重）</w:t>
      </w:r>
      <w:r>
        <w:rPr>
          <w:sz w:val="24"/>
        </w:rPr>
        <w:t>能够满足豹纹鳃棘鲈最大生长的需求。本研究首次报道了豹纹鳃棘鲈的异亮氨酸营养需求</w:t>
      </w:r>
      <w:r>
        <w:rPr>
          <w:rFonts w:hint="eastAsia"/>
          <w:sz w:val="24"/>
        </w:rPr>
        <w:t>，</w:t>
      </w:r>
      <w:r>
        <w:rPr>
          <w:sz w:val="24"/>
        </w:rPr>
        <w:t>并进一步完善了该鱼种的必需氨基酸需求数据库。与前期对不同鱼类的研究相比</w:t>
      </w:r>
      <w:r>
        <w:rPr>
          <w:rFonts w:hint="eastAsia"/>
          <w:sz w:val="24"/>
        </w:rPr>
        <w:t>，</w:t>
      </w:r>
      <w:r>
        <w:rPr>
          <w:sz w:val="24"/>
        </w:rPr>
        <w:t>豹纹鳃棘鲈异亮氨酸需求范围高于大黄鱼</w:t>
      </w:r>
      <w:r>
        <w:fldChar w:fldCharType="begin"/>
      </w:r>
      <w:r>
        <w:instrText xml:space="preserve"> HYPERLINK \l "bookmark61" </w:instrText>
      </w:r>
      <w:r>
        <w:fldChar w:fldCharType="separate"/>
      </w:r>
      <w:r>
        <w:rPr>
          <w:sz w:val="24"/>
          <w:vertAlign w:val="superscript"/>
        </w:rPr>
        <w:t>[</w:t>
      </w:r>
      <w:r>
        <w:rPr>
          <w:sz w:val="24"/>
          <w:vertAlign w:val="superscript"/>
        </w:rPr>
        <w:fldChar w:fldCharType="end"/>
      </w:r>
      <w:r>
        <w:fldChar w:fldCharType="begin"/>
      </w:r>
      <w:r>
        <w:instrText xml:space="preserve"> HYPERLINK \l "bookmark60" </w:instrText>
      </w:r>
      <w:r>
        <w:fldChar w:fldCharType="separate"/>
      </w:r>
      <w:r>
        <w:rPr>
          <w:sz w:val="24"/>
          <w:vertAlign w:val="superscript"/>
        </w:rPr>
        <w:t>7</w:t>
      </w:r>
      <w:r>
        <w:rPr>
          <w:sz w:val="24"/>
          <w:vertAlign w:val="superscript"/>
        </w:rPr>
        <w:fldChar w:fldCharType="end"/>
      </w:r>
      <w:r>
        <w:rPr>
          <w:sz w:val="24"/>
          <w:vertAlign w:val="superscript"/>
        </w:rPr>
        <w:t>]</w:t>
      </w:r>
      <w:r>
        <w:rPr>
          <w:rFonts w:hint="eastAsia"/>
          <w:sz w:val="24"/>
        </w:rPr>
        <w:t>（</w:t>
      </w:r>
      <w:r>
        <w:rPr>
          <w:sz w:val="24"/>
        </w:rPr>
        <w:t>1.71%</w:t>
      </w:r>
      <w:r>
        <w:rPr>
          <w:rFonts w:hint="eastAsia"/>
          <w:sz w:val="24"/>
        </w:rPr>
        <w:t>，</w:t>
      </w:r>
      <w:r>
        <w:rPr>
          <w:sz w:val="24"/>
        </w:rPr>
        <w:t>占饲料干重</w:t>
      </w:r>
      <w:r>
        <w:rPr>
          <w:rFonts w:hint="eastAsia"/>
          <w:sz w:val="24"/>
        </w:rPr>
        <w:t>）</w:t>
      </w:r>
      <w:r>
        <w:rPr>
          <w:sz w:val="24"/>
        </w:rPr>
        <w:t>、卵形鲳鲹</w:t>
      </w:r>
      <w:r>
        <w:rPr>
          <w:sz w:val="24"/>
          <w:vertAlign w:val="superscript"/>
        </w:rPr>
        <w:fldChar w:fldCharType="begin"/>
      </w:r>
      <w:r>
        <w:rPr>
          <w:sz w:val="24"/>
          <w:vertAlign w:val="superscript"/>
        </w:rPr>
        <w:instrText xml:space="preserve"> HYPERLINK \l "bookmark63"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"bookmark62" </w:instrText>
      </w:r>
      <w:r>
        <w:fldChar w:fldCharType="separate"/>
      </w:r>
      <w:r>
        <w:rPr>
          <w:sz w:val="24"/>
          <w:vertAlign w:val="superscript"/>
        </w:rPr>
        <w:t>8</w:t>
      </w:r>
      <w:r>
        <w:rPr>
          <w:sz w:val="24"/>
          <w:vertAlign w:val="superscript"/>
        </w:rPr>
        <w:fldChar w:fldCharType="end"/>
      </w:r>
      <w:r>
        <w:rPr>
          <w:sz w:val="24"/>
          <w:vertAlign w:val="superscript"/>
        </w:rPr>
        <w:t>]</w:t>
      </w:r>
      <w:r>
        <w:rPr>
          <w:sz w:val="24"/>
        </w:rPr>
        <w:t xml:space="preserve">  (1.74%</w:t>
      </w:r>
      <w:r>
        <w:rPr>
          <w:rFonts w:hint="eastAsia"/>
          <w:sz w:val="24"/>
        </w:rPr>
        <w:t>，</w:t>
      </w:r>
      <w:r>
        <w:rPr>
          <w:sz w:val="24"/>
        </w:rPr>
        <w:t>占饲料干重)</w:t>
      </w:r>
      <w:r>
        <w:rPr>
          <w:rFonts w:hint="eastAsia"/>
          <w:sz w:val="24"/>
        </w:rPr>
        <w:t>，</w:t>
      </w:r>
      <w:r>
        <w:rPr>
          <w:sz w:val="24"/>
        </w:rPr>
        <w:t>与虎龙杂交斑</w:t>
      </w:r>
      <w:r>
        <w:fldChar w:fldCharType="begin"/>
      </w:r>
      <w:r>
        <w:instrText xml:space="preserve"> HYPERLINK \l "bookmark65" </w:instrText>
      </w:r>
      <w:r>
        <w:fldChar w:fldCharType="separate"/>
      </w:r>
      <w:r>
        <w:rPr>
          <w:sz w:val="24"/>
          <w:vertAlign w:val="superscript"/>
        </w:rPr>
        <w:t>[</w:t>
      </w:r>
      <w:r>
        <w:rPr>
          <w:sz w:val="24"/>
          <w:vertAlign w:val="superscript"/>
        </w:rPr>
        <w:fldChar w:fldCharType="end"/>
      </w:r>
      <w:r>
        <w:fldChar w:fldCharType="begin"/>
      </w:r>
      <w:r>
        <w:instrText xml:space="preserve"> HYPERLINK \l "bookmark64" </w:instrText>
      </w:r>
      <w:r>
        <w:fldChar w:fldCharType="separate"/>
      </w:r>
      <w:r>
        <w:rPr>
          <w:sz w:val="24"/>
          <w:vertAlign w:val="superscript"/>
        </w:rPr>
        <w:t>9</w:t>
      </w:r>
      <w:r>
        <w:rPr>
          <w:sz w:val="24"/>
          <w:vertAlign w:val="superscript"/>
        </w:rPr>
        <w:fldChar w:fldCharType="end"/>
      </w:r>
      <w:r>
        <w:rPr>
          <w:sz w:val="24"/>
          <w:vertAlign w:val="superscript"/>
        </w:rPr>
        <w:t>]</w:t>
      </w:r>
      <w:r>
        <w:rPr>
          <w:rFonts w:hint="eastAsia"/>
          <w:sz w:val="24"/>
        </w:rPr>
        <w:t>（</w:t>
      </w:r>
      <w:r>
        <w:rPr>
          <w:sz w:val="24"/>
        </w:rPr>
        <w:t>1.98%</w:t>
      </w:r>
      <w:r>
        <w:rPr>
          <w:rFonts w:hint="eastAsia"/>
          <w:sz w:val="24"/>
        </w:rPr>
        <w:t>，</w:t>
      </w:r>
      <w:r>
        <w:rPr>
          <w:sz w:val="24"/>
        </w:rPr>
        <w:t>占饲料干重</w:t>
      </w:r>
      <w:r>
        <w:rPr>
          <w:rFonts w:hint="eastAsia"/>
          <w:sz w:val="24"/>
        </w:rPr>
        <w:t>）</w:t>
      </w:r>
      <w:r>
        <w:rPr>
          <w:sz w:val="24"/>
        </w:rPr>
        <w:t>接近。此外</w:t>
      </w:r>
      <w:r>
        <w:rPr>
          <w:rFonts w:hint="eastAsia"/>
          <w:sz w:val="24"/>
        </w:rPr>
        <w:t>，</w:t>
      </w:r>
      <w:r>
        <w:rPr>
          <w:sz w:val="24"/>
        </w:rPr>
        <w:t>有学者在对草鱼的研究中</w:t>
      </w:r>
      <w:r>
        <w:rPr>
          <w:rFonts w:hint="eastAsia"/>
          <w:sz w:val="24"/>
        </w:rPr>
        <w:t>，</w:t>
      </w:r>
      <w:r>
        <w:rPr>
          <w:sz w:val="24"/>
        </w:rPr>
        <w:t>幼鱼</w:t>
      </w:r>
      <w:r>
        <w:rPr>
          <w:rFonts w:hint="eastAsia"/>
          <w:sz w:val="24"/>
        </w:rPr>
        <w:t>（</w:t>
      </w:r>
      <w:r>
        <w:rPr>
          <w:sz w:val="24"/>
        </w:rPr>
        <w:t>8.25±0.37</w:t>
      </w:r>
      <w:r>
        <w:rPr>
          <w:rFonts w:hint="eastAsia"/>
          <w:sz w:val="24"/>
        </w:rPr>
        <w:t>）</w:t>
      </w:r>
      <w:r>
        <w:rPr>
          <w:sz w:val="24"/>
        </w:rPr>
        <w:t>g和成鱼</w:t>
      </w:r>
      <w:r>
        <w:rPr>
          <w:rFonts w:hint="eastAsia"/>
          <w:sz w:val="24"/>
        </w:rPr>
        <w:t>（</w:t>
      </w:r>
      <w:r>
        <w:rPr>
          <w:sz w:val="24"/>
        </w:rPr>
        <w:t>615.69±0.03</w:t>
      </w:r>
      <w:r>
        <w:rPr>
          <w:rFonts w:hint="eastAsia"/>
          <w:sz w:val="24"/>
        </w:rPr>
        <w:t>）</w:t>
      </w:r>
      <w:r>
        <w:rPr>
          <w:sz w:val="24"/>
        </w:rPr>
        <w:t>g的异亮氨酸需求量分别占饲料干重的1.46%和1.08%</w:t>
      </w:r>
      <w:r>
        <w:fldChar w:fldCharType="begin"/>
      </w:r>
      <w:r>
        <w:instrText xml:space="preserve"> HYPERLINK \l "bookmark67" </w:instrText>
      </w:r>
      <w:r>
        <w:fldChar w:fldCharType="separate"/>
      </w:r>
      <w:r>
        <w:rPr>
          <w:sz w:val="24"/>
          <w:vertAlign w:val="superscript"/>
        </w:rPr>
        <w:t>[11</w:t>
      </w:r>
      <w:r>
        <w:rPr>
          <w:sz w:val="24"/>
          <w:vertAlign w:val="superscript"/>
        </w:rPr>
        <w:fldChar w:fldCharType="end"/>
      </w:r>
      <w:r>
        <w:rPr>
          <w:sz w:val="24"/>
          <w:vertAlign w:val="superscript"/>
        </w:rPr>
        <w:t xml:space="preserve">, </w:t>
      </w:r>
      <w:r>
        <w:fldChar w:fldCharType="begin"/>
      </w:r>
      <w:r>
        <w:instrText xml:space="preserve"> HYPERLINK \l "bookmark66" </w:instrText>
      </w:r>
      <w:r>
        <w:fldChar w:fldCharType="separate"/>
      </w:r>
      <w:r>
        <w:rPr>
          <w:sz w:val="24"/>
          <w:vertAlign w:val="superscript"/>
        </w:rPr>
        <w:t>15</w:t>
      </w:r>
      <w:r>
        <w:rPr>
          <w:sz w:val="24"/>
          <w:vertAlign w:val="superscript"/>
        </w:rPr>
        <w:fldChar w:fldCharType="end"/>
      </w:r>
      <w:r>
        <w:rPr>
          <w:sz w:val="24"/>
          <w:vertAlign w:val="superscript"/>
        </w:rPr>
        <w:t>]</w:t>
      </w:r>
      <w:r>
        <w:rPr>
          <w:sz w:val="24"/>
        </w:rPr>
        <w:t>。因此</w:t>
      </w:r>
      <w:r>
        <w:rPr>
          <w:rFonts w:hint="eastAsia"/>
          <w:sz w:val="24"/>
        </w:rPr>
        <w:t>，</w:t>
      </w:r>
      <w:r>
        <w:rPr>
          <w:sz w:val="24"/>
        </w:rPr>
        <w:t>异亮氨酸需求量存在差异可能归因于鱼类的品种和大小。</w:t>
      </w:r>
    </w:p>
    <w:p w14:paraId="6DA19289">
      <w:pPr>
        <w:spacing w:line="360" w:lineRule="auto"/>
        <w:ind w:firstLine="480" w:firstLineChars="200"/>
        <w:rPr>
          <w:sz w:val="24"/>
        </w:rPr>
      </w:pPr>
      <w:r>
        <w:rPr>
          <w:sz w:val="24"/>
        </w:rPr>
        <w:t>在本研究中</w:t>
      </w:r>
      <w:r>
        <w:rPr>
          <w:rFonts w:hint="eastAsia"/>
          <w:sz w:val="24"/>
        </w:rPr>
        <w:t>，</w:t>
      </w:r>
      <w:r>
        <w:rPr>
          <w:sz w:val="24"/>
        </w:rPr>
        <w:t>高异亮氨酸水平组</w:t>
      </w:r>
      <w:r>
        <w:rPr>
          <w:rFonts w:hint="eastAsia"/>
          <w:sz w:val="24"/>
        </w:rPr>
        <w:t>（</w:t>
      </w:r>
      <w:r>
        <w:rPr>
          <w:sz w:val="24"/>
        </w:rPr>
        <w:t>Ile2.84组</w:t>
      </w:r>
      <w:r>
        <w:rPr>
          <w:rFonts w:hint="eastAsia"/>
          <w:sz w:val="24"/>
        </w:rPr>
        <w:t>）</w:t>
      </w:r>
      <w:r>
        <w:rPr>
          <w:sz w:val="24"/>
        </w:rPr>
        <w:t>实验鱼生长性能及饲料利用显著下降</w:t>
      </w:r>
      <w:r>
        <w:rPr>
          <w:rFonts w:hint="eastAsia"/>
          <w:sz w:val="24"/>
        </w:rPr>
        <w:t>，</w:t>
      </w:r>
      <w:r>
        <w:rPr>
          <w:sz w:val="24"/>
        </w:rPr>
        <w:t>同时其每日摄食量也显著降低</w:t>
      </w:r>
      <w:r>
        <w:rPr>
          <w:rFonts w:hint="eastAsia"/>
          <w:sz w:val="24"/>
        </w:rPr>
        <w:t>，</w:t>
      </w:r>
      <w:r>
        <w:rPr>
          <w:sz w:val="24"/>
        </w:rPr>
        <w:t>表明过量的异亮氨酸可能通过降低豹纹鳃棘鲈的摄食进而抑制其生长。有学者在对</w:t>
      </w:r>
      <w:r>
        <w:rPr>
          <w:rFonts w:hint="eastAsia"/>
          <w:sz w:val="24"/>
        </w:rPr>
        <w:t>团头鲂（</w:t>
      </w:r>
      <w:r>
        <w:rPr>
          <w:rFonts w:hint="eastAsia"/>
          <w:i/>
          <w:iCs/>
          <w:sz w:val="24"/>
        </w:rPr>
        <w:t>Megalobrama amblycephala</w:t>
      </w:r>
      <w:r>
        <w:rPr>
          <w:rFonts w:hint="eastAsia"/>
          <w:sz w:val="24"/>
        </w:rPr>
        <w:t>）</w:t>
      </w:r>
      <w:r>
        <w:fldChar w:fldCharType="begin"/>
      </w:r>
      <w:r>
        <w:instrText xml:space="preserve"> HYPERLINK \l "bookmark69" </w:instrText>
      </w:r>
      <w:r>
        <w:fldChar w:fldCharType="separate"/>
      </w:r>
      <w:r>
        <w:rPr>
          <w:sz w:val="24"/>
          <w:vertAlign w:val="superscript"/>
        </w:rPr>
        <w:t>[</w:t>
      </w:r>
      <w:r>
        <w:rPr>
          <w:sz w:val="24"/>
          <w:vertAlign w:val="superscript"/>
        </w:rPr>
        <w:fldChar w:fldCharType="end"/>
      </w:r>
      <w:r>
        <w:fldChar w:fldCharType="begin"/>
      </w:r>
      <w:r>
        <w:instrText xml:space="preserve"> HYPERLINK \l "bookmark68" </w:instrText>
      </w:r>
      <w:r>
        <w:fldChar w:fldCharType="separate"/>
      </w:r>
      <w:r>
        <w:rPr>
          <w:sz w:val="24"/>
          <w:vertAlign w:val="superscript"/>
        </w:rPr>
        <w:t>20</w:t>
      </w:r>
      <w:r>
        <w:rPr>
          <w:sz w:val="24"/>
          <w:vertAlign w:val="superscript"/>
        </w:rPr>
        <w:fldChar w:fldCharType="end"/>
      </w:r>
      <w:r>
        <w:rPr>
          <w:sz w:val="24"/>
          <w:vertAlign w:val="superscript"/>
        </w:rPr>
        <w:t>]</w:t>
      </w:r>
      <w:r>
        <w:rPr>
          <w:sz w:val="24"/>
        </w:rPr>
        <w:t>和虹鳟</w:t>
      </w:r>
      <w:r>
        <w:rPr>
          <w:rFonts w:hint="eastAsia"/>
          <w:sz w:val="24"/>
        </w:rPr>
        <w:t>（</w:t>
      </w:r>
      <w:r>
        <w:rPr>
          <w:rFonts w:hint="eastAsia"/>
          <w:i/>
          <w:iCs/>
          <w:sz w:val="24"/>
        </w:rPr>
        <w:t>Oncorhynchus mykiss</w:t>
      </w:r>
      <w:r>
        <w:rPr>
          <w:rFonts w:hint="eastAsia"/>
          <w:sz w:val="24"/>
        </w:rPr>
        <w:t>）</w:t>
      </w:r>
      <w:r>
        <w:fldChar w:fldCharType="begin"/>
      </w:r>
      <w:r>
        <w:instrText xml:space="preserve"> HYPERLINK \l "bookmark71" </w:instrText>
      </w:r>
      <w:r>
        <w:fldChar w:fldCharType="separate"/>
      </w:r>
      <w:r>
        <w:rPr>
          <w:sz w:val="24"/>
          <w:vertAlign w:val="superscript"/>
        </w:rPr>
        <w:t>[</w:t>
      </w:r>
      <w:r>
        <w:rPr>
          <w:sz w:val="24"/>
          <w:vertAlign w:val="superscript"/>
        </w:rPr>
        <w:fldChar w:fldCharType="end"/>
      </w:r>
      <w:r>
        <w:fldChar w:fldCharType="begin"/>
      </w:r>
      <w:r>
        <w:instrText xml:space="preserve"> HYPERLINK \l "bookmark70" </w:instrText>
      </w:r>
      <w:r>
        <w:fldChar w:fldCharType="separate"/>
      </w:r>
      <w:r>
        <w:rPr>
          <w:sz w:val="24"/>
          <w:vertAlign w:val="superscript"/>
        </w:rPr>
        <w:t>26</w:t>
      </w:r>
      <w:r>
        <w:rPr>
          <w:sz w:val="24"/>
          <w:vertAlign w:val="superscript"/>
        </w:rPr>
        <w:fldChar w:fldCharType="end"/>
      </w:r>
      <w:r>
        <w:rPr>
          <w:sz w:val="24"/>
          <w:vertAlign w:val="superscript"/>
        </w:rPr>
        <w:t>]</w:t>
      </w:r>
      <w:r>
        <w:rPr>
          <w:sz w:val="24"/>
        </w:rPr>
        <w:t>的研究中发现</w:t>
      </w:r>
      <w:r>
        <w:rPr>
          <w:rFonts w:hint="eastAsia"/>
          <w:sz w:val="24"/>
        </w:rPr>
        <w:t>，</w:t>
      </w:r>
      <w:r>
        <w:rPr>
          <w:sz w:val="24"/>
        </w:rPr>
        <w:t>饲料中过量的异亮氨酸会抑制其生长</w:t>
      </w:r>
      <w:r>
        <w:rPr>
          <w:rFonts w:hint="eastAsia"/>
          <w:sz w:val="24"/>
        </w:rPr>
        <w:t>，</w:t>
      </w:r>
      <w:r>
        <w:rPr>
          <w:sz w:val="24"/>
        </w:rPr>
        <w:t>这与本研究结果相似。但这两个研究均未探究饲料异亮氨酸水平和鱼类摄食量之间的关系。</w:t>
      </w:r>
    </w:p>
    <w:p w14:paraId="6A7F8622">
      <w:pPr>
        <w:spacing w:line="360" w:lineRule="auto"/>
        <w:rPr>
          <w:sz w:val="24"/>
        </w:rPr>
      </w:pPr>
      <w:r>
        <w:rPr>
          <w:sz w:val="24"/>
        </w:rPr>
        <w:t>3.2  饲料异亮氨酸水平对豹纹鳃棘鲈摄食的影响</w:t>
      </w:r>
    </w:p>
    <w:p w14:paraId="3949A3A3">
      <w:pPr>
        <w:spacing w:line="360" w:lineRule="auto"/>
        <w:ind w:firstLine="480" w:firstLineChars="200"/>
        <w:rPr>
          <w:sz w:val="24"/>
        </w:rPr>
      </w:pPr>
      <w:r>
        <w:rPr>
          <w:sz w:val="24"/>
        </w:rPr>
        <w:t>摄食量是影响鱼类生长性能的关键因素之一</w:t>
      </w:r>
      <w:r>
        <w:fldChar w:fldCharType="begin"/>
      </w:r>
      <w:r>
        <w:instrText xml:space="preserve">HYPERLINK \l "bookmark74"</w:instrText>
      </w:r>
      <w:r>
        <w:fldChar w:fldCharType="separate"/>
      </w:r>
      <w:r>
        <w:rPr>
          <w:sz w:val="24"/>
          <w:vertAlign w:val="superscript"/>
        </w:rPr>
        <w:t>[4</w:t>
      </w:r>
      <w:r>
        <w:fldChar w:fldCharType="end"/>
      </w:r>
      <w:r>
        <w:rPr>
          <w:sz w:val="24"/>
          <w:vertAlign w:val="superscript"/>
        </w:rPr>
        <w:t xml:space="preserve">, </w:t>
      </w:r>
      <w:r>
        <w:fldChar w:fldCharType="begin"/>
      </w:r>
      <w:r>
        <w:instrText xml:space="preserve"> HYPERLINK \l "bookmark72" </w:instrText>
      </w:r>
      <w:r>
        <w:fldChar w:fldCharType="separate"/>
      </w:r>
      <w:r>
        <w:rPr>
          <w:sz w:val="24"/>
          <w:vertAlign w:val="superscript"/>
        </w:rPr>
        <w:t>27</w:t>
      </w:r>
      <w:r>
        <w:rPr>
          <w:sz w:val="24"/>
          <w:vertAlign w:val="superscript"/>
        </w:rPr>
        <w:fldChar w:fldCharType="end"/>
      </w:r>
      <w:r>
        <w:rPr>
          <w:sz w:val="24"/>
          <w:vertAlign w:val="superscript"/>
        </w:rPr>
        <w:t xml:space="preserve">, </w:t>
      </w:r>
      <w:r>
        <w:fldChar w:fldCharType="begin"/>
      </w:r>
      <w:r>
        <w:instrText xml:space="preserve"> HYPERLINK \l "bookmark73" </w:instrText>
      </w:r>
      <w:r>
        <w:fldChar w:fldCharType="separate"/>
      </w:r>
      <w:r>
        <w:rPr>
          <w:sz w:val="24"/>
          <w:vertAlign w:val="superscript"/>
        </w:rPr>
        <w:t>28</w:t>
      </w:r>
      <w:r>
        <w:rPr>
          <w:sz w:val="24"/>
          <w:vertAlign w:val="superscript"/>
        </w:rPr>
        <w:fldChar w:fldCharType="end"/>
      </w:r>
      <w:r>
        <w:rPr>
          <w:sz w:val="24"/>
          <w:vertAlign w:val="superscript"/>
        </w:rPr>
        <w:t>]</w:t>
      </w:r>
      <w:r>
        <w:rPr>
          <w:sz w:val="24"/>
        </w:rPr>
        <w:t>。鱼类的摄食受到中枢神经系统与外周调节系统的双重调控</w:t>
      </w:r>
      <w:r>
        <w:rPr>
          <w:sz w:val="24"/>
          <w:vertAlign w:val="superscript"/>
        </w:rPr>
        <w:fldChar w:fldCharType="begin"/>
      </w:r>
      <w:r>
        <w:rPr>
          <w:sz w:val="24"/>
          <w:vertAlign w:val="superscript"/>
        </w:rPr>
        <w:instrText xml:space="preserve"> HYPERLINK \l "bookmark76"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"bookmark75" </w:instrText>
      </w:r>
      <w:r>
        <w:fldChar w:fldCharType="separate"/>
      </w:r>
      <w:r>
        <w:rPr>
          <w:sz w:val="24"/>
          <w:vertAlign w:val="superscript"/>
        </w:rPr>
        <w:t>29</w:t>
      </w:r>
      <w:r>
        <w:rPr>
          <w:sz w:val="24"/>
          <w:vertAlign w:val="superscript"/>
        </w:rPr>
        <w:fldChar w:fldCharType="end"/>
      </w:r>
      <w:r>
        <w:rPr>
          <w:sz w:val="24"/>
          <w:vertAlign w:val="superscript"/>
        </w:rPr>
        <w:t>]</w:t>
      </w:r>
      <w:r>
        <w:rPr>
          <w:sz w:val="24"/>
        </w:rPr>
        <w:t>。肠道是外周氨基酸信号传导的关键器官</w:t>
      </w:r>
      <w:r>
        <w:rPr>
          <w:sz w:val="24"/>
          <w:vertAlign w:val="superscript"/>
        </w:rPr>
        <w:fldChar w:fldCharType="begin"/>
      </w:r>
      <w:r>
        <w:rPr>
          <w:sz w:val="24"/>
          <w:vertAlign w:val="superscript"/>
        </w:rPr>
        <w:instrText xml:space="preserve"> HYPERLINK \l "bookmark78"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"bookmark77" </w:instrText>
      </w:r>
      <w:r>
        <w:fldChar w:fldCharType="separate"/>
      </w:r>
      <w:r>
        <w:rPr>
          <w:sz w:val="24"/>
          <w:vertAlign w:val="superscript"/>
        </w:rPr>
        <w:t>30</w:t>
      </w:r>
      <w:r>
        <w:rPr>
          <w:sz w:val="24"/>
          <w:vertAlign w:val="superscript"/>
        </w:rPr>
        <w:fldChar w:fldCharType="end"/>
      </w:r>
      <w:r>
        <w:rPr>
          <w:sz w:val="24"/>
          <w:vertAlign w:val="superscript"/>
        </w:rPr>
        <w:t>]</w:t>
      </w:r>
      <w:r>
        <w:rPr>
          <w:rFonts w:hint="eastAsia"/>
          <w:sz w:val="24"/>
        </w:rPr>
        <w:t>，</w:t>
      </w:r>
      <w:r>
        <w:rPr>
          <w:sz w:val="24"/>
        </w:rPr>
        <w:t>肠道内分泌细胞可通过鲜味味觉受体T1R1和T1R3以异源二聚体的形式识别L-氨基酸</w:t>
      </w:r>
      <w:r>
        <w:rPr>
          <w:rFonts w:hint="eastAsia"/>
          <w:sz w:val="24"/>
        </w:rPr>
        <w:t>，</w:t>
      </w:r>
      <w:r>
        <w:rPr>
          <w:sz w:val="24"/>
        </w:rPr>
        <w:t>刺激肠胃肽分泌饱腹激素CCK</w:t>
      </w:r>
      <w:r>
        <w:rPr>
          <w:rFonts w:hint="eastAsia"/>
          <w:sz w:val="24"/>
        </w:rPr>
        <w:t>，</w:t>
      </w:r>
      <w:r>
        <w:rPr>
          <w:sz w:val="24"/>
        </w:rPr>
        <w:t>参与摄食调节</w:t>
      </w:r>
      <w:r>
        <w:fldChar w:fldCharType="begin"/>
      </w:r>
      <w:r>
        <w:instrText xml:space="preserve"> HYPERLINK \l "bookmark80" </w:instrText>
      </w:r>
      <w:r>
        <w:fldChar w:fldCharType="separate"/>
      </w:r>
      <w:r>
        <w:rPr>
          <w:sz w:val="24"/>
          <w:vertAlign w:val="superscript"/>
        </w:rPr>
        <w:t>[31</w:t>
      </w:r>
      <w:r>
        <w:rPr>
          <w:sz w:val="24"/>
          <w:vertAlign w:val="superscript"/>
        </w:rPr>
        <w:fldChar w:fldCharType="end"/>
      </w:r>
      <w:r>
        <w:rPr>
          <w:sz w:val="24"/>
          <w:vertAlign w:val="superscript"/>
        </w:rPr>
        <w:t xml:space="preserve">, </w:t>
      </w:r>
      <w:r>
        <w:fldChar w:fldCharType="begin"/>
      </w:r>
      <w:r>
        <w:instrText xml:space="preserve"> HYPERLINK \l "bookmark79" </w:instrText>
      </w:r>
      <w:r>
        <w:fldChar w:fldCharType="separate"/>
      </w:r>
      <w:r>
        <w:rPr>
          <w:sz w:val="24"/>
          <w:vertAlign w:val="superscript"/>
        </w:rPr>
        <w:t>32</w:t>
      </w:r>
      <w:r>
        <w:rPr>
          <w:sz w:val="24"/>
          <w:vertAlign w:val="superscript"/>
        </w:rPr>
        <w:fldChar w:fldCharType="end"/>
      </w:r>
      <w:r>
        <w:rPr>
          <w:sz w:val="24"/>
          <w:vertAlign w:val="superscript"/>
        </w:rPr>
        <w:t>]</w:t>
      </w:r>
      <w:r>
        <w:rPr>
          <w:sz w:val="24"/>
        </w:rPr>
        <w:t>。中枢神经系统则通过神经肽Y</w:t>
      </w:r>
      <w:r>
        <w:rPr>
          <w:rFonts w:hint="eastAsia"/>
          <w:sz w:val="24"/>
        </w:rPr>
        <w:t>（</w:t>
      </w:r>
      <w:r>
        <w:rPr>
          <w:sz w:val="24"/>
        </w:rPr>
        <w:t>NPY</w:t>
      </w:r>
      <w:r>
        <w:rPr>
          <w:rFonts w:hint="eastAsia"/>
          <w:sz w:val="24"/>
        </w:rPr>
        <w:t>）</w:t>
      </w:r>
      <w:r>
        <w:rPr>
          <w:sz w:val="24"/>
        </w:rPr>
        <w:t>等食欲因子参与摄食调节</w:t>
      </w:r>
      <w:r>
        <w:rPr>
          <w:sz w:val="24"/>
          <w:vertAlign w:val="superscript"/>
        </w:rPr>
        <w:fldChar w:fldCharType="begin"/>
      </w:r>
      <w:r>
        <w:rPr>
          <w:sz w:val="24"/>
          <w:vertAlign w:val="superscript"/>
        </w:rPr>
        <w:instrText xml:space="preserve"> HYPERLINK \l "bookmark82"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"bookmark81" </w:instrText>
      </w:r>
      <w:r>
        <w:fldChar w:fldCharType="separate"/>
      </w:r>
      <w:r>
        <w:rPr>
          <w:sz w:val="24"/>
          <w:vertAlign w:val="superscript"/>
        </w:rPr>
        <w:t>33</w:t>
      </w:r>
      <w:r>
        <w:rPr>
          <w:sz w:val="24"/>
          <w:vertAlign w:val="superscript"/>
        </w:rPr>
        <w:fldChar w:fldCharType="end"/>
      </w:r>
      <w:r>
        <w:rPr>
          <w:sz w:val="24"/>
          <w:vertAlign w:val="superscript"/>
        </w:rPr>
        <w:t>]</w:t>
      </w:r>
      <w:r>
        <w:rPr>
          <w:sz w:val="24"/>
        </w:rPr>
        <w:t>。本研究中异亮氨酸水平过高的Ile2.84组</w:t>
      </w:r>
      <w:r>
        <w:rPr>
          <w:rFonts w:hint="eastAsia"/>
          <w:sz w:val="24"/>
        </w:rPr>
        <w:t>，</w:t>
      </w:r>
      <w:r>
        <w:rPr>
          <w:sz w:val="24"/>
        </w:rPr>
        <w:t>其肠道饱腹激素</w:t>
      </w:r>
      <w:r>
        <w:rPr>
          <w:i/>
          <w:iCs/>
          <w:sz w:val="24"/>
        </w:rPr>
        <w:t>cck</w:t>
      </w:r>
      <w:r>
        <w:rPr>
          <w:sz w:val="24"/>
        </w:rPr>
        <w:t>基因及其受体基因</w:t>
      </w:r>
      <w:r>
        <w:rPr>
          <w:i/>
          <w:iCs/>
          <w:sz w:val="24"/>
        </w:rPr>
        <w:t>t1r1</w:t>
      </w:r>
      <w:r>
        <w:rPr>
          <w:sz w:val="24"/>
        </w:rPr>
        <w:t>、</w:t>
      </w:r>
      <w:r>
        <w:rPr>
          <w:i/>
          <w:iCs/>
          <w:sz w:val="24"/>
        </w:rPr>
        <w:t>t1r3</w:t>
      </w:r>
      <w:r>
        <w:rPr>
          <w:sz w:val="24"/>
        </w:rPr>
        <w:t>的表达水平均显著上调</w:t>
      </w:r>
      <w:r>
        <w:rPr>
          <w:rFonts w:hint="eastAsia"/>
          <w:sz w:val="24"/>
        </w:rPr>
        <w:t>，</w:t>
      </w:r>
      <w:r>
        <w:rPr>
          <w:sz w:val="24"/>
        </w:rPr>
        <w:t>这一结果与仔猪</w:t>
      </w:r>
      <w:r>
        <w:fldChar w:fldCharType="begin"/>
      </w:r>
      <w:r>
        <w:instrText xml:space="preserve"> HYPERLINK \l "bookmark84" </w:instrText>
      </w:r>
      <w:r>
        <w:fldChar w:fldCharType="separate"/>
      </w:r>
      <w:r>
        <w:rPr>
          <w:sz w:val="24"/>
          <w:vertAlign w:val="superscript"/>
        </w:rPr>
        <w:t>[</w:t>
      </w:r>
      <w:r>
        <w:rPr>
          <w:sz w:val="24"/>
          <w:vertAlign w:val="superscript"/>
        </w:rPr>
        <w:fldChar w:fldCharType="end"/>
      </w:r>
      <w:r>
        <w:fldChar w:fldCharType="begin"/>
      </w:r>
      <w:r>
        <w:instrText xml:space="preserve"> HYPERLINK \l "bookmark83" </w:instrText>
      </w:r>
      <w:r>
        <w:fldChar w:fldCharType="separate"/>
      </w:r>
      <w:r>
        <w:rPr>
          <w:sz w:val="24"/>
          <w:vertAlign w:val="superscript"/>
        </w:rPr>
        <w:t>18</w:t>
      </w:r>
      <w:r>
        <w:rPr>
          <w:sz w:val="24"/>
          <w:vertAlign w:val="superscript"/>
        </w:rPr>
        <w:fldChar w:fldCharType="end"/>
      </w:r>
      <w:r>
        <w:rPr>
          <w:sz w:val="24"/>
          <w:vertAlign w:val="superscript"/>
        </w:rPr>
        <w:t>]</w:t>
      </w:r>
      <w:r>
        <w:rPr>
          <w:sz w:val="24"/>
        </w:rPr>
        <w:t>的研究结果相似</w:t>
      </w:r>
      <w:r>
        <w:rPr>
          <w:rFonts w:hint="eastAsia"/>
          <w:sz w:val="24"/>
        </w:rPr>
        <w:t>；</w:t>
      </w:r>
      <w:r>
        <w:rPr>
          <w:sz w:val="24"/>
        </w:rPr>
        <w:t>但是</w:t>
      </w:r>
      <w:r>
        <w:rPr>
          <w:rFonts w:hint="eastAsia"/>
          <w:sz w:val="24"/>
        </w:rPr>
        <w:t>，</w:t>
      </w:r>
      <w:r>
        <w:rPr>
          <w:sz w:val="24"/>
        </w:rPr>
        <w:t>脑组织中促食欲基因npy的表达水平与每日摄食量的变化趋势相反,类似结果在对鳜</w:t>
      </w:r>
      <w:r>
        <w:rPr>
          <w:rFonts w:hint="eastAsia"/>
          <w:sz w:val="24"/>
        </w:rPr>
        <w:t>（Siniperca chuatsi）</w:t>
      </w:r>
      <w:r>
        <w:fldChar w:fldCharType="begin"/>
      </w:r>
      <w:r>
        <w:instrText xml:space="preserve"> HYPERLINK \l "bookmark86" </w:instrText>
      </w:r>
      <w:r>
        <w:fldChar w:fldCharType="separate"/>
      </w:r>
      <w:r>
        <w:rPr>
          <w:sz w:val="24"/>
          <w:vertAlign w:val="superscript"/>
        </w:rPr>
        <w:t>[</w:t>
      </w:r>
      <w:r>
        <w:rPr>
          <w:sz w:val="24"/>
          <w:vertAlign w:val="superscript"/>
        </w:rPr>
        <w:fldChar w:fldCharType="end"/>
      </w:r>
      <w:r>
        <w:fldChar w:fldCharType="begin"/>
      </w:r>
      <w:r>
        <w:instrText xml:space="preserve"> HYPERLINK \l "bookmark85" </w:instrText>
      </w:r>
      <w:r>
        <w:fldChar w:fldCharType="separate"/>
      </w:r>
      <w:r>
        <w:rPr>
          <w:sz w:val="24"/>
          <w:vertAlign w:val="superscript"/>
        </w:rPr>
        <w:t>34</w:t>
      </w:r>
      <w:r>
        <w:rPr>
          <w:sz w:val="24"/>
          <w:vertAlign w:val="superscript"/>
        </w:rPr>
        <w:fldChar w:fldCharType="end"/>
      </w:r>
      <w:r>
        <w:rPr>
          <w:sz w:val="24"/>
          <w:vertAlign w:val="superscript"/>
        </w:rPr>
        <w:t>]</w:t>
      </w:r>
      <w:r>
        <w:rPr>
          <w:sz w:val="24"/>
        </w:rPr>
        <w:t>的研究中亦有报道。综上所述</w:t>
      </w:r>
      <w:r>
        <w:rPr>
          <w:rFonts w:hint="eastAsia"/>
          <w:sz w:val="24"/>
        </w:rPr>
        <w:t>，</w:t>
      </w:r>
      <w:r>
        <w:rPr>
          <w:sz w:val="24"/>
        </w:rPr>
        <w:t>过量异亮氨酸的摄入可能通过激活肠道CCK/T1R受体通路进而抑制豹纹鳃棘鲈的摄食。</w:t>
      </w:r>
    </w:p>
    <w:p w14:paraId="59178386">
      <w:pPr>
        <w:spacing w:line="360" w:lineRule="auto"/>
        <w:rPr>
          <w:sz w:val="24"/>
        </w:rPr>
      </w:pPr>
      <w:r>
        <w:rPr>
          <w:sz w:val="24"/>
        </w:rPr>
        <w:t>3.3  饲料异亮氨酸水平对豹纹鳃棘鲈脂代谢的影响</w:t>
      </w:r>
    </w:p>
    <w:p w14:paraId="761D8750">
      <w:pPr>
        <w:spacing w:line="360" w:lineRule="auto"/>
        <w:ind w:firstLine="480" w:firstLineChars="200"/>
        <w:rPr>
          <w:sz w:val="24"/>
        </w:rPr>
      </w:pPr>
      <w:r>
        <w:rPr>
          <w:sz w:val="24"/>
        </w:rPr>
        <w:t>鱼体的生长体现为蛋白和脂肪等物质的净沉积</w:t>
      </w:r>
      <w:r>
        <w:rPr>
          <w:sz w:val="24"/>
          <w:vertAlign w:val="superscript"/>
        </w:rPr>
        <w:t>[</w:t>
      </w:r>
      <w:r>
        <w:fldChar w:fldCharType="begin"/>
      </w:r>
      <w:r>
        <w:instrText xml:space="preserve"> HYPERLINK \l "bookmark87" </w:instrText>
      </w:r>
      <w:r>
        <w:fldChar w:fldCharType="separate"/>
      </w:r>
      <w:r>
        <w:rPr>
          <w:sz w:val="24"/>
          <w:vertAlign w:val="superscript"/>
        </w:rPr>
        <w:t>4</w:t>
      </w:r>
      <w:r>
        <w:rPr>
          <w:sz w:val="24"/>
          <w:vertAlign w:val="superscript"/>
        </w:rPr>
        <w:fldChar w:fldCharType="end"/>
      </w:r>
      <w:r>
        <w:rPr>
          <w:sz w:val="24"/>
          <w:vertAlign w:val="superscript"/>
        </w:rPr>
        <w:t>]</w:t>
      </w:r>
      <w:r>
        <w:rPr>
          <w:sz w:val="24"/>
        </w:rPr>
        <w:t>。在本研究中</w:t>
      </w:r>
      <w:r>
        <w:rPr>
          <w:rFonts w:hint="eastAsia"/>
          <w:sz w:val="24"/>
        </w:rPr>
        <w:t>，</w:t>
      </w:r>
      <w:r>
        <w:rPr>
          <w:sz w:val="24"/>
        </w:rPr>
        <w:t>摄食高水平</w:t>
      </w:r>
      <w:r>
        <w:rPr>
          <w:rFonts w:hint="eastAsia"/>
          <w:sz w:val="24"/>
        </w:rPr>
        <w:t>（</w:t>
      </w:r>
      <w:r>
        <w:rPr>
          <w:sz w:val="24"/>
        </w:rPr>
        <w:t>2.68%</w:t>
      </w:r>
      <w:r>
        <w:rPr>
          <w:rFonts w:hint="eastAsia"/>
          <w:sz w:val="24"/>
        </w:rPr>
        <w:t>）</w:t>
      </w:r>
      <w:r>
        <w:rPr>
          <w:sz w:val="24"/>
        </w:rPr>
        <w:t>异亮氨酸饲料的实验鱼肝体比、肥满度及全鱼、肌肉、肝脏的脂肪含量均显著下降, 说明过量异亮氨酸可能通过降低豹纹鳃棘鲈体脂沉积来减缓其生长, 在小鼠的研究中也有类似的报道</w:t>
      </w:r>
      <w:r>
        <w:rPr>
          <w:sz w:val="24"/>
          <w:vertAlign w:val="superscript"/>
        </w:rPr>
        <w:t>[</w:t>
      </w:r>
      <w:r>
        <w:fldChar w:fldCharType="begin"/>
      </w:r>
      <w:r>
        <w:instrText xml:space="preserve"> HYPERLINK \l "bookmark88" </w:instrText>
      </w:r>
      <w:r>
        <w:fldChar w:fldCharType="separate"/>
      </w:r>
      <w:r>
        <w:rPr>
          <w:sz w:val="24"/>
          <w:vertAlign w:val="superscript"/>
        </w:rPr>
        <w:t>35</w:t>
      </w:r>
      <w:r>
        <w:rPr>
          <w:sz w:val="24"/>
          <w:vertAlign w:val="superscript"/>
        </w:rPr>
        <w:fldChar w:fldCharType="end"/>
      </w:r>
      <w:r>
        <w:rPr>
          <w:sz w:val="24"/>
          <w:vertAlign w:val="superscript"/>
        </w:rPr>
        <w:t>]</w:t>
      </w:r>
      <w:r>
        <w:rPr>
          <w:sz w:val="24"/>
        </w:rPr>
        <w:t>。本研究血浆相关生化指标的变化进一步证实了这一结论。血液是运输鱼类营养物质的载体, 血浆的生化指标可反映机体的代谢状态和营养状况</w:t>
      </w:r>
      <w:r>
        <w:rPr>
          <w:sz w:val="24"/>
          <w:vertAlign w:val="superscript"/>
        </w:rPr>
        <w:fldChar w:fldCharType="begin"/>
      </w:r>
      <w:r>
        <w:rPr>
          <w:sz w:val="24"/>
          <w:vertAlign w:val="superscript"/>
        </w:rPr>
        <w:instrText xml:space="preserve"> HYPERLINK \l "bookmark90"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"bookmark89" </w:instrText>
      </w:r>
      <w:r>
        <w:fldChar w:fldCharType="separate"/>
      </w:r>
      <w:r>
        <w:rPr>
          <w:sz w:val="24"/>
          <w:vertAlign w:val="superscript"/>
        </w:rPr>
        <w:t>36</w:t>
      </w:r>
      <w:r>
        <w:rPr>
          <w:sz w:val="24"/>
          <w:vertAlign w:val="superscript"/>
        </w:rPr>
        <w:fldChar w:fldCharType="end"/>
      </w:r>
      <w:r>
        <w:rPr>
          <w:sz w:val="24"/>
          <w:vertAlign w:val="superscript"/>
        </w:rPr>
        <w:t>]</w:t>
      </w:r>
      <w:r>
        <w:rPr>
          <w:sz w:val="24"/>
        </w:rPr>
        <w:t>。通常, 血浆甘油三酯</w:t>
      </w:r>
      <w:r>
        <w:rPr>
          <w:rFonts w:hint="eastAsia"/>
          <w:sz w:val="24"/>
        </w:rPr>
        <w:t>（TG）</w:t>
      </w:r>
      <w:r>
        <w:rPr>
          <w:sz w:val="24"/>
        </w:rPr>
        <w:t>、总胆固醇</w:t>
      </w:r>
      <w:r>
        <w:rPr>
          <w:rFonts w:hint="eastAsia"/>
          <w:sz w:val="24"/>
        </w:rPr>
        <w:t>（T-CHO）</w:t>
      </w:r>
      <w:r>
        <w:rPr>
          <w:sz w:val="24"/>
        </w:rPr>
        <w:t>、低密度脂蛋白胆固醇</w:t>
      </w:r>
      <w:r>
        <w:rPr>
          <w:rFonts w:hint="eastAsia"/>
          <w:sz w:val="24"/>
        </w:rPr>
        <w:t>（LDL-C）</w:t>
      </w:r>
      <w:r>
        <w:rPr>
          <w:sz w:val="24"/>
        </w:rPr>
        <w:t>和</w:t>
      </w:r>
      <w:r>
        <w:rPr>
          <w:rFonts w:hint="eastAsia"/>
          <w:sz w:val="24"/>
        </w:rPr>
        <w:t>高密度脂蛋白胆固醇（HDL-C）</w:t>
      </w:r>
      <w:r>
        <w:rPr>
          <w:sz w:val="24"/>
        </w:rPr>
        <w:t>水平异常被视为脂类蓄积和脂质代谢障碍的风险指标</w:t>
      </w:r>
      <w:r>
        <w:rPr>
          <w:sz w:val="24"/>
          <w:vertAlign w:val="superscript"/>
        </w:rPr>
        <w:t>[</w:t>
      </w:r>
      <w:r>
        <w:fldChar w:fldCharType="begin"/>
      </w:r>
      <w:r>
        <w:instrText xml:space="preserve"> HYPERLINK \l "bookmark91" </w:instrText>
      </w:r>
      <w:r>
        <w:fldChar w:fldCharType="separate"/>
      </w:r>
      <w:r>
        <w:rPr>
          <w:sz w:val="24"/>
          <w:vertAlign w:val="superscript"/>
        </w:rPr>
        <w:t>37</w:t>
      </w:r>
      <w:r>
        <w:rPr>
          <w:sz w:val="24"/>
          <w:vertAlign w:val="superscript"/>
        </w:rPr>
        <w:fldChar w:fldCharType="end"/>
      </w:r>
      <w:r>
        <w:rPr>
          <w:sz w:val="24"/>
          <w:vertAlign w:val="superscript"/>
        </w:rPr>
        <w:t>]</w:t>
      </w:r>
      <w:r>
        <w:rPr>
          <w:sz w:val="24"/>
        </w:rPr>
        <w:t>。本研究发现, 高异亮氨酸水平组</w:t>
      </w:r>
      <w:r>
        <w:rPr>
          <w:rFonts w:hint="eastAsia"/>
          <w:sz w:val="24"/>
        </w:rPr>
        <w:t>（</w:t>
      </w:r>
      <w:r>
        <w:rPr>
          <w:sz w:val="24"/>
        </w:rPr>
        <w:t>Ile2.84组</w:t>
      </w:r>
      <w:r>
        <w:rPr>
          <w:rFonts w:hint="eastAsia"/>
          <w:sz w:val="24"/>
        </w:rPr>
        <w:t>）</w:t>
      </w:r>
      <w:r>
        <w:rPr>
          <w:sz w:val="24"/>
        </w:rPr>
        <w:t>血浆</w:t>
      </w:r>
      <w:bookmarkStart w:id="54" w:name="bookmark53"/>
      <w:bookmarkEnd w:id="54"/>
      <w:r>
        <w:rPr>
          <w:sz w:val="24"/>
        </w:rPr>
        <w:t>TG 、T-CHO和LDL-C水平显著降低, HDL-C水平显著上升, 表明过量异亮氨酸的摄入可能导致了豹纹鳃棘鲈脂肪合成代谢的减弱, 同时促进了脂肪的分解。</w:t>
      </w:r>
    </w:p>
    <w:p w14:paraId="65DD0DE2">
      <w:pPr>
        <w:spacing w:line="360" w:lineRule="auto"/>
        <w:ind w:firstLine="480" w:firstLineChars="200"/>
        <w:rPr>
          <w:sz w:val="24"/>
        </w:rPr>
      </w:pPr>
      <w:r>
        <w:rPr>
          <w:sz w:val="24"/>
        </w:rPr>
        <w:t>为探究异亮氨酸调节鱼类脂肪代谢的分子机制, 本研究检测分析了肝脏中脂肪合成代谢和分解代谢关键基因的表达。脂肪酸合酶</w:t>
      </w:r>
      <w:r>
        <w:rPr>
          <w:rFonts w:hint="eastAsia"/>
          <w:sz w:val="24"/>
        </w:rPr>
        <w:t>（</w:t>
      </w:r>
      <w:r>
        <w:rPr>
          <w:sz w:val="24"/>
        </w:rPr>
        <w:t>FAS</w:t>
      </w:r>
      <w:r>
        <w:rPr>
          <w:rFonts w:hint="eastAsia"/>
          <w:sz w:val="24"/>
        </w:rPr>
        <w:t>）</w:t>
      </w:r>
      <w:r>
        <w:rPr>
          <w:sz w:val="24"/>
        </w:rPr>
        <w:t>与乙酰辅酶A羧化酶</w:t>
      </w:r>
      <w:r>
        <w:rPr>
          <w:rFonts w:hint="eastAsia"/>
          <w:sz w:val="24"/>
        </w:rPr>
        <w:t>（</w:t>
      </w:r>
      <w:r>
        <w:rPr>
          <w:sz w:val="24"/>
        </w:rPr>
        <w:t>ACC</w:t>
      </w:r>
      <w:r>
        <w:rPr>
          <w:rFonts w:hint="eastAsia"/>
          <w:sz w:val="24"/>
        </w:rPr>
        <w:t>）</w:t>
      </w:r>
      <w:r>
        <w:rPr>
          <w:sz w:val="24"/>
        </w:rPr>
        <w:t>是脂肪合成途径的限速酶, 而过氧化物酶体增殖物激活受体α</w:t>
      </w:r>
      <w:r>
        <w:rPr>
          <w:rFonts w:hint="eastAsia"/>
          <w:sz w:val="24"/>
        </w:rPr>
        <w:t>（</w:t>
      </w:r>
      <w:r>
        <w:rPr>
          <w:sz w:val="24"/>
        </w:rPr>
        <w:t>PPARα</w:t>
      </w:r>
      <w:r>
        <w:rPr>
          <w:rFonts w:hint="eastAsia"/>
          <w:sz w:val="24"/>
        </w:rPr>
        <w:t>）</w:t>
      </w:r>
      <w:r>
        <w:rPr>
          <w:sz w:val="24"/>
        </w:rPr>
        <w:t>、激素敏感脂肪酶</w:t>
      </w:r>
      <w:r>
        <w:rPr>
          <w:rFonts w:hint="eastAsia"/>
          <w:sz w:val="24"/>
        </w:rPr>
        <w:t>（</w:t>
      </w:r>
      <w:r>
        <w:rPr>
          <w:sz w:val="24"/>
        </w:rPr>
        <w:t>HSL</w:t>
      </w:r>
      <w:r>
        <w:rPr>
          <w:rFonts w:hint="eastAsia"/>
          <w:sz w:val="24"/>
        </w:rPr>
        <w:t>）</w:t>
      </w:r>
      <w:r>
        <w:rPr>
          <w:sz w:val="24"/>
        </w:rPr>
        <w:t>及肉碱棕榈酰转移酶-1</w:t>
      </w:r>
      <w:r>
        <w:rPr>
          <w:rFonts w:hint="eastAsia"/>
          <w:sz w:val="24"/>
        </w:rPr>
        <w:t>（</w:t>
      </w:r>
      <w:r>
        <w:rPr>
          <w:sz w:val="24"/>
        </w:rPr>
        <w:t>CPT-1</w:t>
      </w:r>
      <w:r>
        <w:rPr>
          <w:rFonts w:hint="eastAsia"/>
          <w:sz w:val="24"/>
        </w:rPr>
        <w:t>）</w:t>
      </w:r>
      <w:r>
        <w:rPr>
          <w:sz w:val="24"/>
        </w:rPr>
        <w:t>则是调控脂肪氧化分解的关键因子</w:t>
      </w:r>
      <w:r>
        <w:rPr>
          <w:sz w:val="24"/>
          <w:vertAlign w:val="superscript"/>
        </w:rPr>
        <w:fldChar w:fldCharType="begin"/>
      </w:r>
      <w:r>
        <w:rPr>
          <w:sz w:val="24"/>
          <w:vertAlign w:val="superscript"/>
        </w:rPr>
        <w:instrText xml:space="preserve"> HYPERLINK \l "bookmark93" </w:instrText>
      </w:r>
      <w:r>
        <w:rPr>
          <w:sz w:val="24"/>
          <w:vertAlign w:val="superscript"/>
        </w:rPr>
        <w:fldChar w:fldCharType="separate"/>
      </w:r>
      <w:r>
        <w:rPr>
          <w:sz w:val="24"/>
          <w:vertAlign w:val="superscript"/>
        </w:rPr>
        <w:t>[38</w:t>
      </w:r>
      <w:r>
        <w:rPr>
          <w:sz w:val="24"/>
          <w:vertAlign w:val="superscript"/>
        </w:rPr>
        <w:fldChar w:fldCharType="end"/>
      </w:r>
      <w:r>
        <w:rPr>
          <w:sz w:val="24"/>
          <w:vertAlign w:val="superscript"/>
        </w:rPr>
        <w:t xml:space="preserve">, </w:t>
      </w:r>
      <w:r>
        <w:fldChar w:fldCharType="begin"/>
      </w:r>
      <w:r>
        <w:instrText xml:space="preserve"> HYPERLINK \l "bookmark92" </w:instrText>
      </w:r>
      <w:r>
        <w:fldChar w:fldCharType="separate"/>
      </w:r>
      <w:r>
        <w:rPr>
          <w:sz w:val="24"/>
          <w:vertAlign w:val="superscript"/>
        </w:rPr>
        <w:t>39</w:t>
      </w:r>
      <w:r>
        <w:rPr>
          <w:sz w:val="24"/>
          <w:vertAlign w:val="superscript"/>
        </w:rPr>
        <w:fldChar w:fldCharType="end"/>
      </w:r>
      <w:r>
        <w:rPr>
          <w:sz w:val="24"/>
          <w:vertAlign w:val="superscript"/>
        </w:rPr>
        <w:t>]</w:t>
      </w:r>
      <w:r>
        <w:rPr>
          <w:sz w:val="24"/>
        </w:rPr>
        <w:t>。在本研究中,高异亮氨酸水平组</w:t>
      </w:r>
      <w:r>
        <w:rPr>
          <w:rFonts w:hint="eastAsia"/>
          <w:sz w:val="24"/>
        </w:rPr>
        <w:t>（</w:t>
      </w:r>
      <w:r>
        <w:rPr>
          <w:sz w:val="24"/>
        </w:rPr>
        <w:t>Ile2.84组</w:t>
      </w:r>
      <w:r>
        <w:rPr>
          <w:rFonts w:hint="eastAsia"/>
          <w:sz w:val="24"/>
        </w:rPr>
        <w:t>）</w:t>
      </w:r>
      <w:r>
        <w:rPr>
          <w:sz w:val="24"/>
        </w:rPr>
        <w:t>实验鱼肝脏脂肪合成代谢相关基因</w:t>
      </w:r>
      <w:r>
        <w:rPr>
          <w:rFonts w:hint="eastAsia"/>
          <w:sz w:val="24"/>
        </w:rPr>
        <w:t>（</w:t>
      </w:r>
      <w:r>
        <w:rPr>
          <w:i/>
          <w:iCs/>
          <w:sz w:val="24"/>
        </w:rPr>
        <w:t>fas</w:t>
      </w:r>
      <w:r>
        <w:rPr>
          <w:sz w:val="24"/>
        </w:rPr>
        <w:t>和</w:t>
      </w:r>
      <w:r>
        <w:rPr>
          <w:i/>
          <w:iCs/>
          <w:sz w:val="24"/>
        </w:rPr>
        <w:t>acc1α</w:t>
      </w:r>
      <w:r>
        <w:rPr>
          <w:rFonts w:hint="eastAsia"/>
          <w:sz w:val="24"/>
        </w:rPr>
        <w:t>）</w:t>
      </w:r>
      <w:r>
        <w:rPr>
          <w:sz w:val="24"/>
        </w:rPr>
        <w:t>的表达水平显著下降</w:t>
      </w:r>
      <w:r>
        <w:rPr>
          <w:rFonts w:hint="eastAsia"/>
          <w:sz w:val="24"/>
        </w:rPr>
        <w:t>，</w:t>
      </w:r>
      <w:r>
        <w:rPr>
          <w:sz w:val="24"/>
        </w:rPr>
        <w:t>脂肪分解相关基因</w:t>
      </w:r>
      <w:r>
        <w:rPr>
          <w:rFonts w:hint="eastAsia"/>
          <w:sz w:val="24"/>
        </w:rPr>
        <w:t>（</w:t>
      </w:r>
      <w:r>
        <w:rPr>
          <w:i/>
          <w:iCs/>
          <w:sz w:val="24"/>
        </w:rPr>
        <w:t>pparα</w:t>
      </w:r>
      <w:r>
        <w:rPr>
          <w:sz w:val="24"/>
        </w:rPr>
        <w:t>、</w:t>
      </w:r>
      <w:r>
        <w:rPr>
          <w:i/>
          <w:iCs/>
          <w:sz w:val="24"/>
        </w:rPr>
        <w:t>hsl</w:t>
      </w:r>
      <w:r>
        <w:rPr>
          <w:sz w:val="24"/>
        </w:rPr>
        <w:t>和</w:t>
      </w:r>
      <w:r>
        <w:rPr>
          <w:i/>
          <w:iCs/>
          <w:sz w:val="24"/>
        </w:rPr>
        <w:t>cpt-1</w:t>
      </w:r>
      <w:r>
        <w:rPr>
          <w:rFonts w:hint="eastAsia"/>
          <w:sz w:val="24"/>
        </w:rPr>
        <w:t>）</w:t>
      </w:r>
      <w:r>
        <w:rPr>
          <w:sz w:val="24"/>
        </w:rPr>
        <w:t>的表达水平显著升高</w:t>
      </w:r>
      <w:r>
        <w:rPr>
          <w:rFonts w:hint="eastAsia"/>
          <w:sz w:val="24"/>
        </w:rPr>
        <w:t>，</w:t>
      </w:r>
      <w:r>
        <w:rPr>
          <w:sz w:val="24"/>
        </w:rPr>
        <w:t>这表明过量的异亮氨酸可能通过抑制脂肪合成代谢相关基因和促进脂肪分解代谢相关基因的表达, 来降低豹纹鳃棘鲈的脂肪沉积。</w:t>
      </w:r>
    </w:p>
    <w:p w14:paraId="6C6A80D3">
      <w:pPr>
        <w:spacing w:line="360" w:lineRule="auto"/>
        <w:ind w:firstLine="480" w:firstLineChars="200"/>
        <w:rPr>
          <w:sz w:val="24"/>
        </w:rPr>
      </w:pPr>
      <w:r>
        <w:rPr>
          <w:sz w:val="24"/>
        </w:rPr>
        <w:t>腺苷酸活化蛋白激酶</w:t>
      </w:r>
      <w:r>
        <w:rPr>
          <w:rFonts w:hint="eastAsia"/>
          <w:sz w:val="24"/>
        </w:rPr>
        <w:t>（</w:t>
      </w:r>
      <w:r>
        <w:rPr>
          <w:sz w:val="24"/>
        </w:rPr>
        <w:t>AMPK</w:t>
      </w:r>
      <w:r>
        <w:rPr>
          <w:rFonts w:hint="eastAsia"/>
          <w:sz w:val="24"/>
        </w:rPr>
        <w:t>）</w:t>
      </w:r>
      <w:r>
        <w:rPr>
          <w:sz w:val="24"/>
        </w:rPr>
        <w:t>是调节脂质</w:t>
      </w:r>
      <w:r>
        <w:rPr>
          <w:rFonts w:hint="eastAsia"/>
          <w:sz w:val="24"/>
        </w:rPr>
        <w:t>代谢的关键因子。</w:t>
      </w:r>
      <w:r>
        <w:rPr>
          <w:sz w:val="24"/>
        </w:rPr>
        <w:t>和能量平衡的调节器, 可调控上述脂肪合成与分解通路</w:t>
      </w:r>
      <w:r>
        <w:rPr>
          <w:rFonts w:hint="eastAsia"/>
          <w:sz w:val="24"/>
        </w:rPr>
        <w:t>，</w:t>
      </w:r>
      <w:r>
        <w:rPr>
          <w:sz w:val="24"/>
        </w:rPr>
        <w:t>其激活后可通过磷酸化ACC抑制其活性</w:t>
      </w:r>
      <w:r>
        <w:rPr>
          <w:rFonts w:hint="eastAsia"/>
          <w:sz w:val="24"/>
        </w:rPr>
        <w:t>，</w:t>
      </w:r>
      <w:r>
        <w:rPr>
          <w:sz w:val="24"/>
        </w:rPr>
        <w:t>减少丙二酰-CoA生成</w:t>
      </w:r>
      <w:r>
        <w:rPr>
          <w:rFonts w:hint="eastAsia"/>
          <w:sz w:val="24"/>
        </w:rPr>
        <w:t>，</w:t>
      </w:r>
      <w:r>
        <w:rPr>
          <w:sz w:val="24"/>
        </w:rPr>
        <w:t>从而解除对CPT-1的抑制</w:t>
      </w:r>
      <w:r>
        <w:rPr>
          <w:rFonts w:hint="eastAsia"/>
          <w:sz w:val="24"/>
        </w:rPr>
        <w:t>，</w:t>
      </w:r>
      <w:r>
        <w:rPr>
          <w:sz w:val="24"/>
        </w:rPr>
        <w:t>促进脂肪酸氧化</w:t>
      </w:r>
      <w:r>
        <w:rPr>
          <w:rFonts w:hint="eastAsia"/>
          <w:sz w:val="24"/>
        </w:rPr>
        <w:t>，</w:t>
      </w:r>
      <w:r>
        <w:rPr>
          <w:sz w:val="24"/>
        </w:rPr>
        <w:t>同时其还可通过抑制固醇调节元件结合蛋白1</w:t>
      </w:r>
      <w:r>
        <w:rPr>
          <w:rFonts w:hint="eastAsia"/>
          <w:sz w:val="24"/>
        </w:rPr>
        <w:t>（</w:t>
      </w:r>
      <w:r>
        <w:rPr>
          <w:sz w:val="24"/>
        </w:rPr>
        <w:t xml:space="preserve">Sterol regulatory element binding </w:t>
      </w:r>
      <w:bookmarkStart w:id="55" w:name="bookmark55"/>
      <w:bookmarkEnd w:id="55"/>
      <w:r>
        <w:rPr>
          <w:sz w:val="24"/>
        </w:rPr>
        <w:t>transcription factor 1</w:t>
      </w:r>
      <w:r>
        <w:rPr>
          <w:rFonts w:hint="eastAsia"/>
          <w:sz w:val="24"/>
        </w:rPr>
        <w:t>，</w:t>
      </w:r>
      <w:r>
        <w:rPr>
          <w:sz w:val="24"/>
        </w:rPr>
        <w:t>SREBP-1</w:t>
      </w:r>
      <w:r>
        <w:rPr>
          <w:rFonts w:hint="eastAsia"/>
          <w:sz w:val="24"/>
        </w:rPr>
        <w:t>）</w:t>
      </w:r>
      <w:r>
        <w:rPr>
          <w:sz w:val="24"/>
        </w:rPr>
        <w:t>的活性下调FAS</w:t>
      </w:r>
      <w:r>
        <w:rPr>
          <w:rFonts w:hint="eastAsia"/>
          <w:sz w:val="24"/>
        </w:rPr>
        <w:t>表</w:t>
      </w:r>
      <w:r>
        <w:rPr>
          <w:sz w:val="24"/>
        </w:rPr>
        <w:t>达</w:t>
      </w:r>
      <w:r>
        <w:fldChar w:fldCharType="begin"/>
      </w:r>
      <w:r>
        <w:instrText xml:space="preserve"> HYPERLINK \l "bookmark95" </w:instrText>
      </w:r>
      <w:r>
        <w:fldChar w:fldCharType="separate"/>
      </w:r>
      <w:r>
        <w:rPr>
          <w:sz w:val="24"/>
          <w:vertAlign w:val="superscript"/>
        </w:rPr>
        <w:t>[</w:t>
      </w:r>
      <w:r>
        <w:rPr>
          <w:sz w:val="24"/>
          <w:vertAlign w:val="superscript"/>
        </w:rPr>
        <w:fldChar w:fldCharType="end"/>
      </w:r>
      <w:r>
        <w:fldChar w:fldCharType="begin"/>
      </w:r>
      <w:r>
        <w:instrText xml:space="preserve"> HYPERLINK \l "bookmark94" </w:instrText>
      </w:r>
      <w:r>
        <w:fldChar w:fldCharType="separate"/>
      </w:r>
      <w:r>
        <w:rPr>
          <w:sz w:val="24"/>
          <w:vertAlign w:val="superscript"/>
        </w:rPr>
        <w:t>40</w:t>
      </w:r>
      <w:r>
        <w:rPr>
          <w:sz w:val="24"/>
          <w:vertAlign w:val="superscript"/>
        </w:rPr>
        <w:fldChar w:fldCharType="end"/>
      </w:r>
      <w:r>
        <w:rPr>
          <w:sz w:val="24"/>
          <w:vertAlign w:val="superscript"/>
        </w:rPr>
        <w:t>]</w:t>
      </w:r>
      <w:r>
        <w:rPr>
          <w:sz w:val="24"/>
        </w:rPr>
        <w:t>。在本研究中</w:t>
      </w:r>
      <w:r>
        <w:rPr>
          <w:rFonts w:hint="eastAsia"/>
          <w:sz w:val="24"/>
        </w:rPr>
        <w:t>，</w:t>
      </w:r>
      <w:r>
        <w:rPr>
          <w:sz w:val="24"/>
        </w:rPr>
        <w:t>Ile2.84组实验鱼肝脏</w:t>
      </w:r>
      <w:r>
        <w:rPr>
          <w:i/>
          <w:iCs/>
          <w:sz w:val="24"/>
        </w:rPr>
        <w:t>ampkα</w:t>
      </w:r>
      <w:r>
        <w:rPr>
          <w:sz w:val="24"/>
        </w:rPr>
        <w:t>的基因表达水平显著增加</w:t>
      </w:r>
      <w:r>
        <w:rPr>
          <w:rFonts w:hint="eastAsia"/>
          <w:sz w:val="24"/>
        </w:rPr>
        <w:t>，</w:t>
      </w:r>
      <w:r>
        <w:rPr>
          <w:sz w:val="24"/>
        </w:rPr>
        <w:t>表明过量的异亮氨酸可能通过上调</w:t>
      </w:r>
      <w:r>
        <w:rPr>
          <w:i/>
          <w:iCs/>
          <w:sz w:val="24"/>
        </w:rPr>
        <w:t>ampkα</w:t>
      </w:r>
      <w:r>
        <w:rPr>
          <w:sz w:val="24"/>
        </w:rPr>
        <w:t>基因表达</w:t>
      </w:r>
      <w:r>
        <w:rPr>
          <w:rFonts w:hint="eastAsia"/>
          <w:sz w:val="24"/>
        </w:rPr>
        <w:t>，</w:t>
      </w:r>
      <w:r>
        <w:rPr>
          <w:sz w:val="24"/>
        </w:rPr>
        <w:t>进而抑制下游脂肪合成代谢相关基因和激活下游脂肪分解代谢相关基因的表达</w:t>
      </w:r>
      <w:r>
        <w:rPr>
          <w:rFonts w:hint="eastAsia"/>
          <w:sz w:val="24"/>
        </w:rPr>
        <w:t>，</w:t>
      </w:r>
      <w:r>
        <w:rPr>
          <w:sz w:val="24"/>
        </w:rPr>
        <w:t>最终导致脂肪沉积下降</w:t>
      </w:r>
      <w:r>
        <w:rPr>
          <w:rFonts w:hint="eastAsia"/>
          <w:sz w:val="24"/>
        </w:rPr>
        <w:t>，</w:t>
      </w:r>
      <w:r>
        <w:rPr>
          <w:sz w:val="24"/>
        </w:rPr>
        <w:t>在对杂交江鲿</w:t>
      </w:r>
      <w:r>
        <w:fldChar w:fldCharType="begin"/>
      </w:r>
      <w:r>
        <w:instrText xml:space="preserve"> HYPERLINK \l "bookmark97" </w:instrText>
      </w:r>
      <w:r>
        <w:fldChar w:fldCharType="separate"/>
      </w:r>
      <w:r>
        <w:rPr>
          <w:sz w:val="24"/>
          <w:vertAlign w:val="superscript"/>
        </w:rPr>
        <w:t>[</w:t>
      </w:r>
      <w:r>
        <w:rPr>
          <w:sz w:val="24"/>
          <w:vertAlign w:val="superscript"/>
        </w:rPr>
        <w:fldChar w:fldCharType="end"/>
      </w:r>
      <w:r>
        <w:fldChar w:fldCharType="begin"/>
      </w:r>
      <w:r>
        <w:instrText xml:space="preserve"> HYPERLINK \l "bookmark96" </w:instrText>
      </w:r>
      <w:r>
        <w:fldChar w:fldCharType="separate"/>
      </w:r>
      <w:r>
        <w:rPr>
          <w:sz w:val="24"/>
          <w:vertAlign w:val="superscript"/>
        </w:rPr>
        <w:t>17</w:t>
      </w:r>
      <w:r>
        <w:rPr>
          <w:sz w:val="24"/>
          <w:vertAlign w:val="superscript"/>
        </w:rPr>
        <w:fldChar w:fldCharType="end"/>
      </w:r>
      <w:r>
        <w:rPr>
          <w:sz w:val="24"/>
          <w:vertAlign w:val="superscript"/>
        </w:rPr>
        <w:t>]</w:t>
      </w:r>
      <w:r>
        <w:rPr>
          <w:sz w:val="24"/>
        </w:rPr>
        <w:t>的研究中也有类似的报道。值得注意的是</w:t>
      </w:r>
      <w:r>
        <w:rPr>
          <w:rFonts w:hint="eastAsia"/>
          <w:sz w:val="24"/>
        </w:rPr>
        <w:t>，</w:t>
      </w:r>
      <w:r>
        <w:rPr>
          <w:sz w:val="24"/>
        </w:rPr>
        <w:t>AMPK</w:t>
      </w:r>
      <w:bookmarkStart w:id="56" w:name="bookmark63"/>
      <w:bookmarkEnd w:id="56"/>
      <w:bookmarkStart w:id="57" w:name="bookmark39"/>
      <w:bookmarkEnd w:id="57"/>
      <w:bookmarkStart w:id="58" w:name="bookmark9"/>
      <w:bookmarkEnd w:id="58"/>
      <w:r>
        <w:rPr>
          <w:sz w:val="24"/>
        </w:rPr>
        <w:t>的激活通常与能量匮乏状态相关</w:t>
      </w:r>
      <w:r>
        <w:rPr>
          <w:sz w:val="24"/>
          <w:vertAlign w:val="superscript"/>
        </w:rPr>
        <w:t>[</w:t>
      </w:r>
      <w:r>
        <w:fldChar w:fldCharType="begin"/>
      </w:r>
      <w:r>
        <w:instrText xml:space="preserve"> HYPERLINK \l "bookmark98" </w:instrText>
      </w:r>
      <w:r>
        <w:fldChar w:fldCharType="separate"/>
      </w:r>
      <w:r>
        <w:rPr>
          <w:sz w:val="24"/>
          <w:vertAlign w:val="superscript"/>
        </w:rPr>
        <w:t>41</w:t>
      </w:r>
      <w:r>
        <w:rPr>
          <w:sz w:val="24"/>
          <w:vertAlign w:val="superscript"/>
        </w:rPr>
        <w:fldChar w:fldCharType="end"/>
      </w:r>
      <w:r>
        <w:rPr>
          <w:sz w:val="24"/>
          <w:vertAlign w:val="superscript"/>
        </w:rPr>
        <w:t>]</w:t>
      </w:r>
      <w:r>
        <w:rPr>
          <w:sz w:val="24"/>
        </w:rPr>
        <w:t>。本研究中过量异亮氨酸组每日摄食量显著降低</w:t>
      </w:r>
      <w:r>
        <w:rPr>
          <w:rFonts w:hint="eastAsia"/>
          <w:sz w:val="24"/>
        </w:rPr>
        <w:t>，</w:t>
      </w:r>
      <w:r>
        <w:rPr>
          <w:sz w:val="24"/>
        </w:rPr>
        <w:t>可能导致能量摄入不足</w:t>
      </w:r>
      <w:r>
        <w:rPr>
          <w:rFonts w:hint="eastAsia"/>
          <w:sz w:val="24"/>
        </w:rPr>
        <w:t>，</w:t>
      </w:r>
      <w:r>
        <w:rPr>
          <w:sz w:val="24"/>
        </w:rPr>
        <w:t>从而上调</w:t>
      </w:r>
      <w:r>
        <w:rPr>
          <w:i/>
          <w:iCs/>
          <w:sz w:val="24"/>
        </w:rPr>
        <w:t>ampkα</w:t>
      </w:r>
      <w:r>
        <w:rPr>
          <w:sz w:val="24"/>
        </w:rPr>
        <w:t>基因表达以动员脂肪供能。在草鱼的相关研究则发现</w:t>
      </w:r>
      <w:r>
        <w:rPr>
          <w:rFonts w:hint="eastAsia"/>
          <w:sz w:val="24"/>
        </w:rPr>
        <w:t>，</w:t>
      </w:r>
      <w:r>
        <w:rPr>
          <w:sz w:val="24"/>
        </w:rPr>
        <w:t>摄食水平降低可激</w:t>
      </w:r>
      <w:bookmarkStart w:id="59" w:name="bookmark65"/>
      <w:bookmarkEnd w:id="59"/>
      <w:bookmarkStart w:id="60" w:name="bookmark12"/>
      <w:bookmarkEnd w:id="60"/>
      <w:r>
        <w:rPr>
          <w:sz w:val="24"/>
        </w:rPr>
        <w:t>活AMPK</w:t>
      </w:r>
      <w:r>
        <w:rPr>
          <w:rFonts w:hint="eastAsia"/>
          <w:sz w:val="24"/>
        </w:rPr>
        <w:t>，</w:t>
      </w:r>
      <w:r>
        <w:rPr>
          <w:sz w:val="24"/>
        </w:rPr>
        <w:t>但该研究并未进一步探讨AMPK激活后对脂代谢的影响</w:t>
      </w:r>
      <w:r>
        <w:rPr>
          <w:sz w:val="24"/>
          <w:vertAlign w:val="superscript"/>
        </w:rPr>
        <w:fldChar w:fldCharType="begin"/>
      </w:r>
      <w:r>
        <w:rPr>
          <w:sz w:val="24"/>
          <w:vertAlign w:val="superscript"/>
        </w:rPr>
        <w:instrText xml:space="preserve"> HYPERLINK \l "bookmark100" </w:instrText>
      </w:r>
      <w:r>
        <w:rPr>
          <w:sz w:val="24"/>
          <w:vertAlign w:val="superscript"/>
        </w:rPr>
        <w:fldChar w:fldCharType="separate"/>
      </w:r>
      <w:r>
        <w:rPr>
          <w:sz w:val="24"/>
          <w:vertAlign w:val="superscript"/>
        </w:rPr>
        <w:t>[</w:t>
      </w:r>
      <w:r>
        <w:rPr>
          <w:sz w:val="24"/>
          <w:vertAlign w:val="superscript"/>
        </w:rPr>
        <w:fldChar w:fldCharType="end"/>
      </w:r>
      <w:r>
        <w:fldChar w:fldCharType="begin"/>
      </w:r>
      <w:r>
        <w:instrText xml:space="preserve"> HYPERLINK \l "bookmark99" </w:instrText>
      </w:r>
      <w:r>
        <w:fldChar w:fldCharType="separate"/>
      </w:r>
      <w:r>
        <w:rPr>
          <w:sz w:val="24"/>
          <w:vertAlign w:val="superscript"/>
        </w:rPr>
        <w:t>42</w:t>
      </w:r>
      <w:r>
        <w:rPr>
          <w:sz w:val="24"/>
          <w:vertAlign w:val="superscript"/>
        </w:rPr>
        <w:fldChar w:fldCharType="end"/>
      </w:r>
      <w:r>
        <w:rPr>
          <w:sz w:val="24"/>
          <w:vertAlign w:val="superscript"/>
        </w:rPr>
        <w:t>]</w:t>
      </w:r>
      <w:r>
        <w:rPr>
          <w:sz w:val="24"/>
        </w:rPr>
        <w:t>。另有报道</w:t>
      </w:r>
      <w:r>
        <w:rPr>
          <w:rFonts w:hint="eastAsia"/>
          <w:sz w:val="24"/>
        </w:rPr>
        <w:t>，</w:t>
      </w:r>
      <w:r>
        <w:rPr>
          <w:sz w:val="24"/>
        </w:rPr>
        <w:t>对小鼠进行饥饿处理或限制能量摄入会激活</w:t>
      </w:r>
      <w:r>
        <w:rPr>
          <w:rFonts w:hint="eastAsia"/>
          <w:sz w:val="24"/>
        </w:rPr>
        <w:t>AMPK，</w:t>
      </w:r>
      <w:r>
        <w:rPr>
          <w:sz w:val="24"/>
        </w:rPr>
        <w:t>促进其体脂分解供</w:t>
      </w:r>
      <w:bookmarkStart w:id="61" w:name="bookmark14"/>
      <w:bookmarkEnd w:id="61"/>
      <w:r>
        <w:rPr>
          <w:sz w:val="24"/>
        </w:rPr>
        <w:t>能</w:t>
      </w:r>
      <w:r>
        <w:fldChar w:fldCharType="begin"/>
      </w:r>
      <w:r>
        <w:instrText xml:space="preserve"> HYPERLINK \l "bookmark102" </w:instrText>
      </w:r>
      <w:r>
        <w:fldChar w:fldCharType="separate"/>
      </w:r>
      <w:r>
        <w:rPr>
          <w:sz w:val="24"/>
          <w:vertAlign w:val="superscript"/>
        </w:rPr>
        <w:t>[43</w:t>
      </w:r>
      <w:r>
        <w:rPr>
          <w:sz w:val="24"/>
          <w:vertAlign w:val="superscript"/>
        </w:rPr>
        <w:fldChar w:fldCharType="end"/>
      </w:r>
      <w:r>
        <w:rPr>
          <w:sz w:val="24"/>
          <w:vertAlign w:val="superscript"/>
        </w:rPr>
        <w:t xml:space="preserve">, </w:t>
      </w:r>
      <w:r>
        <w:fldChar w:fldCharType="begin"/>
      </w:r>
      <w:r>
        <w:instrText xml:space="preserve"> HYPERLINK \l "bookmark101" </w:instrText>
      </w:r>
      <w:r>
        <w:fldChar w:fldCharType="separate"/>
      </w:r>
      <w:r>
        <w:rPr>
          <w:sz w:val="24"/>
          <w:vertAlign w:val="superscript"/>
        </w:rPr>
        <w:t>44</w:t>
      </w:r>
      <w:r>
        <w:rPr>
          <w:sz w:val="24"/>
          <w:vertAlign w:val="superscript"/>
        </w:rPr>
        <w:fldChar w:fldCharType="end"/>
      </w:r>
      <w:r>
        <w:rPr>
          <w:sz w:val="24"/>
          <w:vertAlign w:val="superscript"/>
        </w:rPr>
        <w:t>]</w:t>
      </w:r>
      <w:r>
        <w:rPr>
          <w:sz w:val="24"/>
        </w:rPr>
        <w:t>。因此, 过量异亮氨酸本身是否直接激活AMPK</w:t>
      </w:r>
      <w:r>
        <w:rPr>
          <w:rFonts w:hint="eastAsia"/>
          <w:sz w:val="24"/>
        </w:rPr>
        <w:t>，</w:t>
      </w:r>
      <w:r>
        <w:rPr>
          <w:sz w:val="24"/>
        </w:rPr>
        <w:t>亦或者完全通过降低摄食量间接起作用</w:t>
      </w:r>
      <w:r>
        <w:rPr>
          <w:rFonts w:hint="eastAsia"/>
          <w:sz w:val="24"/>
        </w:rPr>
        <w:t>，</w:t>
      </w:r>
      <w:r>
        <w:rPr>
          <w:sz w:val="24"/>
        </w:rPr>
        <w:t>尚需进一步研究。</w:t>
      </w:r>
    </w:p>
    <w:p w14:paraId="4CDD03CE">
      <w:pPr>
        <w:spacing w:line="360" w:lineRule="auto"/>
        <w:rPr>
          <w:sz w:val="24"/>
        </w:rPr>
      </w:pPr>
      <w:bookmarkStart w:id="62" w:name="bookmark18"/>
      <w:bookmarkEnd w:id="62"/>
      <w:bookmarkStart w:id="63" w:name="bookmark67"/>
      <w:bookmarkEnd w:id="63"/>
      <w:r>
        <w:rPr>
          <w:sz w:val="24"/>
        </w:rPr>
        <w:t>4  结论</w:t>
      </w:r>
    </w:p>
    <w:p w14:paraId="55E7D811">
      <w:pPr>
        <w:spacing w:line="360" w:lineRule="auto"/>
        <w:ind w:firstLine="480" w:firstLineChars="200"/>
        <w:rPr>
          <w:sz w:val="24"/>
        </w:rPr>
      </w:pPr>
      <w:r>
        <w:rPr>
          <w:sz w:val="24"/>
        </w:rPr>
        <w:t>在本实验条件下</w:t>
      </w:r>
      <w:r>
        <w:rPr>
          <w:rFonts w:hint="eastAsia"/>
          <w:sz w:val="24"/>
        </w:rPr>
        <w:t>，</w:t>
      </w:r>
      <w:r>
        <w:rPr>
          <w:sz w:val="24"/>
        </w:rPr>
        <w:t>配合饲料中1.96%—2.68%的异亮氨酸水平</w:t>
      </w:r>
      <w:r>
        <w:rPr>
          <w:rFonts w:hint="eastAsia"/>
          <w:sz w:val="24"/>
        </w:rPr>
        <w:t>（</w:t>
      </w:r>
      <w:r>
        <w:rPr>
          <w:sz w:val="24"/>
        </w:rPr>
        <w:t>占饲料蛋白的3.80%—5. 17%</w:t>
      </w:r>
      <w:r>
        <w:rPr>
          <w:rFonts w:hint="eastAsia"/>
          <w:sz w:val="24"/>
        </w:rPr>
        <w:t>）</w:t>
      </w:r>
      <w:r>
        <w:rPr>
          <w:sz w:val="24"/>
        </w:rPr>
        <w:t>能够满足豹纹鳃棘鲈生长的需求。当饲料异亮氨酸水</w:t>
      </w:r>
      <w:bookmarkStart w:id="64" w:name="bookmark37"/>
      <w:bookmarkEnd w:id="64"/>
      <w:bookmarkStart w:id="65" w:name="bookmark17"/>
      <w:bookmarkEnd w:id="65"/>
      <w:r>
        <w:rPr>
          <w:sz w:val="24"/>
        </w:rPr>
        <w:t>平超过2.68%时</w:t>
      </w:r>
      <w:r>
        <w:rPr>
          <w:rFonts w:hint="eastAsia"/>
          <w:sz w:val="24"/>
        </w:rPr>
        <w:t>，</w:t>
      </w:r>
      <w:r>
        <w:rPr>
          <w:sz w:val="24"/>
        </w:rPr>
        <w:t>豹纹鳃棘鲈生长受到抑制</w:t>
      </w:r>
      <w:r>
        <w:rPr>
          <w:rFonts w:hint="eastAsia"/>
          <w:sz w:val="24"/>
        </w:rPr>
        <w:t>，</w:t>
      </w:r>
      <w:r>
        <w:rPr>
          <w:sz w:val="24"/>
        </w:rPr>
        <w:t>并降低摄食量和体内脂肪沉积。</w:t>
      </w:r>
    </w:p>
    <w:p w14:paraId="3A58E309">
      <w:pPr>
        <w:rPr>
          <w:sz w:val="24"/>
        </w:rPr>
      </w:pPr>
      <w:r>
        <w:rPr>
          <w:rFonts w:hint="eastAsia" w:ascii="宋体" w:hAnsi="宋体" w:cs="宋体"/>
          <w:sz w:val="24"/>
        </w:rPr>
        <w:t>参考文献：略</w:t>
      </w:r>
    </w:p>
    <w:p w14:paraId="7F0AA875">
      <w:pPr>
        <w:spacing w:line="360" w:lineRule="auto"/>
        <w:jc w:val="right"/>
        <w:rPr>
          <w:szCs w:val="21"/>
        </w:rPr>
      </w:pPr>
      <w:r>
        <w:rPr>
          <w:rFonts w:ascii="宋体" w:hAnsi="宋体" w:cs="宋体"/>
          <w:szCs w:val="21"/>
        </w:rPr>
        <w:t>原文刊登在</w:t>
      </w:r>
      <w:r>
        <w:rPr>
          <w:rFonts w:cs="宋体"/>
        </w:rPr>
        <w:t>《</w:t>
      </w:r>
      <w:r>
        <w:rPr>
          <w:rFonts w:hint="eastAsia" w:cs="宋体"/>
        </w:rPr>
        <w:t>水生生物学报</w:t>
      </w:r>
      <w:r>
        <w:rPr>
          <w:rFonts w:cs="宋体"/>
        </w:rPr>
        <w:t>》</w:t>
      </w:r>
      <w:r>
        <w:rPr>
          <w:rFonts w:hint="eastAsia" w:cs="宋体"/>
        </w:rPr>
        <w:t>2026年第8期</w:t>
      </w:r>
    </w:p>
    <w:p w14:paraId="56ED88B0">
      <w:pPr>
        <w:rPr>
          <w:rFonts w:hint="eastAsia" w:ascii="黑体" w:hAnsi="黑体" w:eastAsia="黑体" w:cs="黑体"/>
          <w:b/>
          <w:bCs/>
          <w:sz w:val="32"/>
          <w:szCs w:val="32"/>
        </w:rPr>
      </w:pPr>
    </w:p>
    <w:p w14:paraId="71A1AF43">
      <w:pPr>
        <w:rPr>
          <w:rFonts w:hint="eastAsia" w:ascii="黑体" w:hAnsi="黑体" w:eastAsia="黑体" w:cs="黑体"/>
          <w:b/>
          <w:bCs/>
          <w:sz w:val="32"/>
          <w:szCs w:val="32"/>
        </w:rPr>
      </w:pPr>
    </w:p>
    <w:p w14:paraId="62CD89AF">
      <w:pPr>
        <w:spacing w:line="360" w:lineRule="auto"/>
        <w:jc w:val="center"/>
        <w:outlineLvl w:val="1"/>
        <w:rPr>
          <w:rFonts w:eastAsia="黑体"/>
          <w:b/>
          <w:bCs/>
          <w:sz w:val="32"/>
          <w:szCs w:val="32"/>
        </w:rPr>
      </w:pPr>
      <w:bookmarkStart w:id="66" w:name="_Toc239088003"/>
      <w:r>
        <w:rPr>
          <w:rFonts w:hint="eastAsia" w:ascii="黑体" w:hAnsi="黑体" w:eastAsia="黑体" w:cs="黑体"/>
          <w:b/>
          <w:bCs/>
          <w:sz w:val="32"/>
          <w:szCs w:val="32"/>
        </w:rPr>
        <w:t>饲料蛋白水平对大规格草鱼生长性能、消化酶活性和抗氧化能力的影响</w:t>
      </w:r>
      <w:bookmarkEnd w:id="66"/>
    </w:p>
    <w:p w14:paraId="0227F198">
      <w:pPr>
        <w:jc w:val="center"/>
        <w:rPr>
          <w:rFonts w:cs="宋体"/>
          <w:szCs w:val="21"/>
          <w:vertAlign w:val="superscript"/>
        </w:rPr>
      </w:pPr>
      <w:r>
        <w:rPr>
          <w:rFonts w:hint="eastAsia" w:cs="宋体"/>
          <w:szCs w:val="21"/>
        </w:rPr>
        <w:t>夏雨</w:t>
      </w:r>
      <w:r>
        <w:rPr>
          <w:rFonts w:hint="eastAsia" w:cs="宋体"/>
          <w:szCs w:val="21"/>
          <w:vertAlign w:val="superscript"/>
        </w:rPr>
        <w:t>1,2</w:t>
      </w:r>
      <w:r>
        <w:rPr>
          <w:rFonts w:hint="eastAsia" w:cs="宋体"/>
          <w:szCs w:val="21"/>
        </w:rPr>
        <w:t xml:space="preserve"> 宿敬志</w:t>
      </w:r>
      <w:r>
        <w:rPr>
          <w:rFonts w:hint="eastAsia" w:cs="宋体"/>
          <w:szCs w:val="21"/>
          <w:vertAlign w:val="superscript"/>
        </w:rPr>
        <w:t>1,2</w:t>
      </w:r>
      <w:r>
        <w:rPr>
          <w:rFonts w:hint="eastAsia" w:cs="宋体"/>
          <w:szCs w:val="21"/>
        </w:rPr>
        <w:t xml:space="preserve"> 陈家林</w:t>
      </w:r>
      <w:r>
        <w:rPr>
          <w:rFonts w:hint="eastAsia" w:cs="宋体"/>
          <w:szCs w:val="21"/>
          <w:vertAlign w:val="superscript"/>
        </w:rPr>
        <w:t>1*</w:t>
      </w:r>
      <w:r>
        <w:rPr>
          <w:rFonts w:hint="eastAsia" w:cs="宋体"/>
          <w:szCs w:val="21"/>
        </w:rPr>
        <w:t xml:space="preserve"> 韩冬</w:t>
      </w:r>
      <w:r>
        <w:rPr>
          <w:rFonts w:hint="eastAsia" w:cs="宋体"/>
          <w:szCs w:val="21"/>
          <w:vertAlign w:val="superscript"/>
        </w:rPr>
        <w:t>3</w:t>
      </w:r>
      <w:r>
        <w:rPr>
          <w:rFonts w:hint="eastAsia" w:cs="宋体"/>
          <w:szCs w:val="21"/>
        </w:rPr>
        <w:t xml:space="preserve"> 钱雪桥</w:t>
      </w:r>
      <w:r>
        <w:rPr>
          <w:rFonts w:hint="eastAsia" w:cs="宋体"/>
          <w:szCs w:val="21"/>
          <w:vertAlign w:val="superscript"/>
        </w:rPr>
        <w:t>1</w:t>
      </w:r>
    </w:p>
    <w:p w14:paraId="516C00BA">
      <w:pPr>
        <w:jc w:val="center"/>
      </w:pPr>
      <w:r>
        <w:rPr>
          <w:rFonts w:hint="eastAsia"/>
        </w:rPr>
        <w:t>（1.广东海大集团股份有限公司畜牧水产研究中心，广东广州510030；</w:t>
      </w:r>
    </w:p>
    <w:p w14:paraId="3764B55E">
      <w:pPr>
        <w:jc w:val="center"/>
      </w:pPr>
      <w:r>
        <w:rPr>
          <w:rFonts w:hint="eastAsia"/>
        </w:rPr>
        <w:t>2.农业农村部微生态资源养殖利用重点试验室，广东广州510030；3.中国科学院水生生物研究所，湖北武汉535019）</w:t>
      </w:r>
    </w:p>
    <w:p w14:paraId="2D8EA0CE">
      <w:r>
        <w:rPr>
          <w:rFonts w:hint="eastAsia"/>
          <w:b/>
          <w:bCs/>
        </w:rPr>
        <w:t>摘要：</w:t>
      </w:r>
      <w:r>
        <w:rPr>
          <w:rFonts w:hint="eastAsia"/>
        </w:rPr>
        <w:t>试验旨在探究不同蛋白水平的饲料对大规格草鱼生长性能、消化酶活性和抗氧化能力的影响。选取360尾健康、初始体重（1902.32±7.61）g的大规格草鱼，随机分为6组，每组4个重复，每个重复15尾，CP1组、CP2组、CP3组、CP4组、CP5组、CP6组分别饲喂蛋白水平为26.52%、28.05%、30.97%、31.85%、34.67%、35.79%的饲料。预试期2w，正式试验期8w。结果显示，随着饲料蛋白水平的升高，草鱼的增重率呈先升高后降低的趋势，CP4组和CP5组增重率显著高于CP1组（</w:t>
      </w:r>
      <w:r>
        <w:rPr>
          <w:rFonts w:hint="eastAsia"/>
          <w:i/>
          <w:iCs/>
        </w:rPr>
        <w:t>P</w:t>
      </w:r>
      <w:r>
        <w:rPr>
          <w:rFonts w:hint="eastAsia"/>
        </w:rPr>
        <w:t>&lt;0.05）。CP4组、CP5组和CP6组中肠胰蛋白酶活性显著高于CP1组（</w:t>
      </w:r>
      <w:r>
        <w:rPr>
          <w:rFonts w:hint="eastAsia"/>
          <w:i/>
          <w:iCs/>
        </w:rPr>
        <w:t>P</w:t>
      </w:r>
      <w:r>
        <w:rPr>
          <w:rFonts w:hint="eastAsia"/>
        </w:rPr>
        <w:t>&lt;0.05），CP3组和CP5组中肠淀粉酶活性显著低于CP1组（</w:t>
      </w:r>
      <w:r>
        <w:rPr>
          <w:rFonts w:hint="eastAsia"/>
          <w:i/>
          <w:iCs/>
        </w:rPr>
        <w:t>P</w:t>
      </w:r>
      <w:r>
        <w:rPr>
          <w:rFonts w:hint="eastAsia"/>
        </w:rPr>
        <w:t>&lt;0.05）；CP5组肝脏胰蛋白酶活性显著高于CP1组（</w:t>
      </w:r>
      <w:r>
        <w:rPr>
          <w:rFonts w:hint="eastAsia"/>
          <w:i/>
          <w:iCs/>
        </w:rPr>
        <w:t>P</w:t>
      </w:r>
      <w:r>
        <w:rPr>
          <w:rFonts w:hint="eastAsia"/>
        </w:rPr>
        <w:t>&lt;0.05），CP1组脂肪酶活性显著高于CP4组和CP6组（</w:t>
      </w:r>
      <w:r>
        <w:rPr>
          <w:rFonts w:hint="eastAsia"/>
          <w:i/>
          <w:iCs/>
        </w:rPr>
        <w:t>P</w:t>
      </w:r>
      <w:r>
        <w:rPr>
          <w:rFonts w:hint="eastAsia"/>
        </w:rPr>
        <w:t>&lt;0.05）。CP3组和CP4组肝脏超氧化物歧化酶（SOD）活性显著高于CP1组（</w:t>
      </w:r>
      <w:r>
        <w:rPr>
          <w:rFonts w:hint="eastAsia"/>
          <w:i/>
          <w:iCs/>
        </w:rPr>
        <w:t>P</w:t>
      </w:r>
      <w:r>
        <w:rPr>
          <w:rFonts w:hint="eastAsia"/>
        </w:rPr>
        <w:t>&lt;0.05）；CP3组谷胱甘肽过氧化物酶（GSH-Px）活性显著高于CP1组（</w:t>
      </w:r>
      <w:r>
        <w:rPr>
          <w:rFonts w:hint="eastAsia"/>
          <w:i/>
          <w:iCs/>
        </w:rPr>
        <w:t>P</w:t>
      </w:r>
      <w:r>
        <w:rPr>
          <w:rFonts w:hint="eastAsia"/>
        </w:rPr>
        <w:t>&lt;0.05），丙二醛（MDA）含量显著低于CP1组（</w:t>
      </w:r>
      <w:r>
        <w:rPr>
          <w:rFonts w:hint="eastAsia"/>
          <w:i/>
          <w:iCs/>
        </w:rPr>
        <w:t>P</w:t>
      </w:r>
      <w:r>
        <w:rPr>
          <w:rFonts w:hint="eastAsia"/>
        </w:rPr>
        <w:t>&lt;0.05）。研究表明，适宜的饲料蛋白水平能够提高草鱼的生长性能、消化酶活性和抗应激能力，以增重率为评价指标时饲料蛋白水平为29.09%时效果较好。</w:t>
      </w:r>
    </w:p>
    <w:p w14:paraId="53BBC784">
      <w:r>
        <w:rPr>
          <w:rFonts w:hint="eastAsia"/>
          <w:b/>
          <w:bCs/>
        </w:rPr>
        <w:t>关键词：</w:t>
      </w:r>
      <w:r>
        <w:rPr>
          <w:rFonts w:hint="eastAsia"/>
        </w:rPr>
        <w:t>大规格草鱼；生长性能；消化酶；抗氧化能力；蛋白水平</w:t>
      </w:r>
    </w:p>
    <w:p w14:paraId="65E1F422">
      <w:pPr>
        <w:jc w:val="center"/>
        <w:rPr>
          <w:b/>
          <w:bCs/>
          <w:sz w:val="24"/>
        </w:rPr>
      </w:pPr>
      <w:r>
        <w:rPr>
          <w:b/>
          <w:bCs/>
          <w:sz w:val="24"/>
        </w:rPr>
        <w:t>Effects of dietary protein levels on growth performance, digestive enzyme activity</w:t>
      </w:r>
      <w:r>
        <w:rPr>
          <w:rFonts w:hint="eastAsia"/>
          <w:b/>
          <w:bCs/>
          <w:sz w:val="24"/>
        </w:rPr>
        <w:t xml:space="preserve">, </w:t>
      </w:r>
      <w:r>
        <w:rPr>
          <w:b/>
          <w:bCs/>
          <w:sz w:val="24"/>
        </w:rPr>
        <w:t>and antioxidant capacity in large-sized grass carp</w:t>
      </w:r>
    </w:p>
    <w:p w14:paraId="285FACBF">
      <w:pPr>
        <w:jc w:val="center"/>
        <w:rPr>
          <w:szCs w:val="21"/>
        </w:rPr>
      </w:pPr>
      <w:r>
        <w:rPr>
          <w:szCs w:val="21"/>
        </w:rPr>
        <w:t xml:space="preserve">Xia Yu </w:t>
      </w:r>
      <w:r>
        <w:rPr>
          <w:rFonts w:hint="eastAsia"/>
          <w:szCs w:val="21"/>
        </w:rPr>
        <w:t xml:space="preserve"> </w:t>
      </w:r>
      <w:r>
        <w:rPr>
          <w:szCs w:val="21"/>
        </w:rPr>
        <w:t>Su Jingzhi</w:t>
      </w:r>
      <w:r>
        <w:rPr>
          <w:rFonts w:hint="eastAsia"/>
          <w:szCs w:val="21"/>
        </w:rPr>
        <w:t xml:space="preserve"> </w:t>
      </w:r>
      <w:r>
        <w:rPr>
          <w:szCs w:val="21"/>
        </w:rPr>
        <w:t xml:space="preserve"> Chen Jialin </w:t>
      </w:r>
      <w:r>
        <w:rPr>
          <w:rFonts w:hint="eastAsia"/>
          <w:szCs w:val="21"/>
        </w:rPr>
        <w:t xml:space="preserve"> </w:t>
      </w:r>
      <w:r>
        <w:rPr>
          <w:szCs w:val="21"/>
        </w:rPr>
        <w:t>Han Dong</w:t>
      </w:r>
      <w:r>
        <w:rPr>
          <w:rFonts w:hint="eastAsia"/>
          <w:szCs w:val="21"/>
        </w:rPr>
        <w:t xml:space="preserve"> </w:t>
      </w:r>
      <w:r>
        <w:rPr>
          <w:szCs w:val="21"/>
        </w:rPr>
        <w:t xml:space="preserve"> Qian Xueqiao</w:t>
      </w:r>
    </w:p>
    <w:p w14:paraId="7972E08B">
      <w:pPr>
        <w:rPr>
          <w:szCs w:val="21"/>
        </w:rPr>
      </w:pPr>
      <w:r>
        <w:rPr>
          <w:b/>
          <w:bCs/>
          <w:szCs w:val="21"/>
        </w:rPr>
        <w:t>Abstract:</w:t>
      </w:r>
      <w:r>
        <w:rPr>
          <w:szCs w:val="21"/>
        </w:rPr>
        <w:t xml:space="preserve"> The experiment aimed to investigate the effects of feed with different protein levels on the growth performance, digestive enzyme activity, and antioxidant capacity of large-sized grass carp. A total of 360 healthy grass carps with an initial weight of (</w:t>
      </w:r>
      <w:r>
        <w:rPr>
          <w:rFonts w:hint="eastAsia"/>
          <w:szCs w:val="21"/>
        </w:rPr>
        <w:t>1902.32 ± 7.61</w:t>
      </w:r>
      <w:r>
        <w:rPr>
          <w:szCs w:val="21"/>
        </w:rPr>
        <w:t>) g were randomly divided into six groups, with four replicates per group and 15 fish per</w:t>
      </w:r>
      <w:r>
        <w:rPr>
          <w:rFonts w:hint="eastAsia"/>
          <w:szCs w:val="21"/>
        </w:rPr>
        <w:t xml:space="preserve"> </w:t>
      </w:r>
      <w:r>
        <w:rPr>
          <w:szCs w:val="21"/>
        </w:rPr>
        <w:t xml:space="preserve">replicate, groups CP1, CP2, CP3, CP4, </w:t>
      </w:r>
      <w:r>
        <w:rPr>
          <w:rFonts w:hint="eastAsia"/>
          <w:szCs w:val="21"/>
        </w:rPr>
        <w:t>CP5,</w:t>
      </w:r>
      <w:r>
        <w:rPr>
          <w:szCs w:val="21"/>
        </w:rPr>
        <w:t xml:space="preserve"> and CP6 were fed diets containing 26.52%, 28.05%, 30.97%, 31.85%, 34.67</w:t>
      </w:r>
      <w:r>
        <w:rPr>
          <w:rFonts w:hint="eastAsia"/>
          <w:szCs w:val="21"/>
        </w:rPr>
        <w:t>%,</w:t>
      </w:r>
      <w:r>
        <w:rPr>
          <w:szCs w:val="21"/>
        </w:rPr>
        <w:t xml:space="preserve"> and 35.79% protein, respectively. The pre-test period was two weeks, and the formal test period was eight weeks. The results showed that as the protein level in the feed increased, the weight gain rate of the grass carp first increased and then decreased, and the weight gain rate in groups CP4 and CP5 was significantly higher than group CP1 (</w:t>
      </w:r>
      <w:r>
        <w:rPr>
          <w:i/>
          <w:iCs/>
          <w:szCs w:val="21"/>
        </w:rPr>
        <w:t>P</w:t>
      </w:r>
      <w:r>
        <w:rPr>
          <w:szCs w:val="21"/>
        </w:rPr>
        <w:t>&lt;0.05). The midgut trypsin activity in groups CP4, CP5, and CP6 was significantly higher than that in group CP1 (</w:t>
      </w:r>
      <w:r>
        <w:rPr>
          <w:rFonts w:hint="eastAsia"/>
          <w:szCs w:val="21"/>
        </w:rPr>
        <w:t>P &lt; 0.05</w:t>
      </w:r>
      <w:r>
        <w:rPr>
          <w:szCs w:val="21"/>
        </w:rPr>
        <w:t>), while the midgut amylase activity in groups CP3 and CP5 was significantly lower than that in group CP1 (</w:t>
      </w:r>
      <w:r>
        <w:rPr>
          <w:rFonts w:hint="eastAsia"/>
          <w:szCs w:val="21"/>
        </w:rPr>
        <w:t>P &lt; 0.05</w:t>
      </w:r>
      <w:r>
        <w:rPr>
          <w:szCs w:val="21"/>
        </w:rPr>
        <w:t>). The liver trypsin activity in group CP5 was significantly higher than that in group CP1 (</w:t>
      </w:r>
      <w:r>
        <w:rPr>
          <w:i/>
          <w:iCs/>
          <w:szCs w:val="21"/>
        </w:rPr>
        <w:t>P</w:t>
      </w:r>
      <w:r>
        <w:rPr>
          <w:szCs w:val="21"/>
        </w:rPr>
        <w:t>&lt;0.05), and the lipase activity in group CP1 was significantly higher than that in groups CP4 and CP6 (</w:t>
      </w:r>
      <w:r>
        <w:rPr>
          <w:i/>
          <w:iCs/>
          <w:szCs w:val="21"/>
        </w:rPr>
        <w:t>P</w:t>
      </w:r>
      <w:r>
        <w:rPr>
          <w:szCs w:val="21"/>
        </w:rPr>
        <w:t>&lt;0.05). The liver superoxide dismutase (SOD) activity in groups CP3 and CP4 was significantly higher than that in group CP1 (</w:t>
      </w:r>
      <w:r>
        <w:rPr>
          <w:i/>
          <w:iCs/>
          <w:szCs w:val="21"/>
        </w:rPr>
        <w:t>P</w:t>
      </w:r>
      <w:r>
        <w:rPr>
          <w:szCs w:val="21"/>
        </w:rPr>
        <w:t>&lt;0.05). The glutathione peroxidase (GSH-Px) activity in group CP3 was significantly higher than that in group CP1 (</w:t>
      </w:r>
      <w:r>
        <w:rPr>
          <w:i/>
          <w:iCs/>
          <w:szCs w:val="21"/>
        </w:rPr>
        <w:t>P</w:t>
      </w:r>
      <w:r>
        <w:rPr>
          <w:szCs w:val="21"/>
        </w:rPr>
        <w:t>&lt;0.05), and the malondialdehyde (MDA) content was significantly lower than that in group CP1 (</w:t>
      </w:r>
      <w:r>
        <w:rPr>
          <w:i/>
          <w:iCs/>
          <w:szCs w:val="21"/>
        </w:rPr>
        <w:t>P</w:t>
      </w:r>
      <w:r>
        <w:rPr>
          <w:szCs w:val="21"/>
        </w:rPr>
        <w:t>&lt;0.05). The study shows that an appropriate protein level in feed can improve the growth performance, digestive enzyme activity, and anti-stress capacity of grass carp. When using weight gain rate as the evaluation index, the effect is better when the dietary protein level is 29.09%.</w:t>
      </w:r>
    </w:p>
    <w:p w14:paraId="471D2770">
      <w:pPr>
        <w:rPr>
          <w:szCs w:val="21"/>
        </w:rPr>
      </w:pPr>
      <w:r>
        <w:rPr>
          <w:b/>
          <w:bCs/>
          <w:szCs w:val="21"/>
        </w:rPr>
        <w:t>Key</w:t>
      </w:r>
      <w:r>
        <w:rPr>
          <w:rFonts w:hint="eastAsia"/>
          <w:b/>
          <w:bCs/>
          <w:szCs w:val="21"/>
        </w:rPr>
        <w:t xml:space="preserve"> </w:t>
      </w:r>
      <w:r>
        <w:rPr>
          <w:b/>
          <w:bCs/>
          <w:szCs w:val="21"/>
        </w:rPr>
        <w:t>words:</w:t>
      </w:r>
      <w:r>
        <w:rPr>
          <w:szCs w:val="21"/>
        </w:rPr>
        <w:t xml:space="preserve"> large-sized grass carp; growth performance; digestive enzyme; antioxidant capacity; protein levels</w:t>
      </w:r>
    </w:p>
    <w:p w14:paraId="447EBFBD">
      <w:pPr>
        <w:rPr>
          <w:szCs w:val="21"/>
        </w:rPr>
      </w:pPr>
    </w:p>
    <w:p w14:paraId="4D8E9D83">
      <w:pPr>
        <w:spacing w:line="360" w:lineRule="auto"/>
        <w:ind w:firstLine="480" w:firstLineChars="200"/>
        <w:rPr>
          <w:sz w:val="24"/>
        </w:rPr>
      </w:pPr>
      <w:r>
        <w:rPr>
          <w:sz w:val="24"/>
        </w:rPr>
        <w:t>我国水产养殖总产量长期位于全球前列，其中草鱼是我国人工养殖产量较高的品种，2023年草鱼产量达到594.1万t</w:t>
      </w:r>
      <w:r>
        <w:rPr>
          <w:sz w:val="24"/>
          <w:vertAlign w:val="superscript"/>
        </w:rPr>
        <w:t>[1]</w:t>
      </w:r>
      <w:r>
        <w:rPr>
          <w:sz w:val="24"/>
        </w:rPr>
        <w:t>。随着集约化养殖模式的推广和消费需求的提升，草鱼养殖逐渐向大规格、高品质方向发展。饲料作为养殖过程中的关键投入品，其营养配比对草鱼的生长性能、免疫力、饲料利用率等方面均具有显著影响。蛋白质是饲料配方的重要组成部分，可以为鱼体提供生长发育所需的必需氨基酸，其分解产物也是合成多种激素与酶的关键底物，在调控生理活动中发挥重要作用</w:t>
      </w:r>
      <w:r>
        <w:rPr>
          <w:sz w:val="24"/>
          <w:vertAlign w:val="superscript"/>
        </w:rPr>
        <w:t>[2]</w:t>
      </w:r>
      <w:r>
        <w:rPr>
          <w:sz w:val="24"/>
        </w:rPr>
        <w:t>。研究表明，饲料蛋白水平过低会降低鱼类的生长速度，导致饲料转化率下降，而蛋白水平过高则会增加氨氮排放，造成水体污染</w:t>
      </w:r>
      <w:r>
        <w:rPr>
          <w:sz w:val="24"/>
          <w:vertAlign w:val="superscript"/>
        </w:rPr>
        <w:t>[3]</w:t>
      </w:r>
      <w:r>
        <w:rPr>
          <w:sz w:val="24"/>
        </w:rPr>
        <w:t>。因此，准确评估不同规格草鱼的蛋白需求量，对提高养殖产量、保障食品安全和推动水产养殖业的可持续发展具有重要意义。</w:t>
      </w:r>
    </w:p>
    <w:p w14:paraId="733D7AFC">
      <w:pPr>
        <w:spacing w:line="360" w:lineRule="auto"/>
        <w:ind w:firstLine="480" w:firstLineChars="200"/>
        <w:rPr>
          <w:sz w:val="24"/>
        </w:rPr>
      </w:pPr>
      <w:r>
        <w:rPr>
          <w:sz w:val="24"/>
        </w:rPr>
        <w:t>目前，关于草鱼蛋白质需求已有较多报道，但主要集中在幼鱼阶段。例如，YU等</w:t>
      </w:r>
      <w:r>
        <w:rPr>
          <w:sz w:val="24"/>
          <w:vertAlign w:val="superscript"/>
        </w:rPr>
        <w:t>[4]</w:t>
      </w:r>
      <w:r>
        <w:rPr>
          <w:sz w:val="24"/>
        </w:rPr>
        <w:t>发现，初重为0.38g的草鱼对饲料蛋白质的需求范围为</w:t>
      </w:r>
      <w:r>
        <w:rPr>
          <w:rFonts w:hint="eastAsia"/>
          <w:sz w:val="24"/>
        </w:rPr>
        <w:t>36.45%～40.86%</w:t>
      </w:r>
      <w:r>
        <w:rPr>
          <w:sz w:val="24"/>
        </w:rPr>
        <w:t>。王孝宇</w:t>
      </w:r>
      <w:r>
        <w:rPr>
          <w:sz w:val="24"/>
          <w:vertAlign w:val="superscript"/>
        </w:rPr>
        <w:t>[5]</w:t>
      </w:r>
      <w:r>
        <w:rPr>
          <w:sz w:val="24"/>
        </w:rPr>
        <w:t>研究发现，饲料蛋白水平为35.98%时，草鱼的末重、特定生长率、摄食率、干物质表观消化率和蛋白质表观消化率最高。刘国庆</w:t>
      </w:r>
      <w:r>
        <w:rPr>
          <w:sz w:val="24"/>
          <w:vertAlign w:val="superscript"/>
        </w:rPr>
        <w:t>[6]</w:t>
      </w:r>
      <w:r>
        <w:rPr>
          <w:sz w:val="24"/>
        </w:rPr>
        <w:t>发现，初重为4.68g草鱼饲料适宜蛋白水平为</w:t>
      </w:r>
      <w:r>
        <w:rPr>
          <w:rFonts w:hint="eastAsia"/>
          <w:sz w:val="24"/>
        </w:rPr>
        <w:t>36.14%～37.90%</w:t>
      </w:r>
      <w:r>
        <w:rPr>
          <w:sz w:val="24"/>
        </w:rPr>
        <w:t>。李彬</w:t>
      </w:r>
      <w:r>
        <w:rPr>
          <w:sz w:val="24"/>
          <w:vertAlign w:val="superscript"/>
        </w:rPr>
        <w:t>[2]</w:t>
      </w:r>
      <w:r>
        <w:rPr>
          <w:sz w:val="24"/>
        </w:rPr>
        <w:t>发现，初重为12.17g草鱼饲料的适宜蛋白水平为</w:t>
      </w:r>
      <w:r>
        <w:rPr>
          <w:rFonts w:hint="eastAsia"/>
          <w:sz w:val="24"/>
        </w:rPr>
        <w:t>31.29%～33.17%</w:t>
      </w:r>
      <w:r>
        <w:rPr>
          <w:sz w:val="24"/>
        </w:rPr>
        <w:t>。上述结果表明，不同规格草鱼对饲料中蛋白质的需求量不同。这可能与草鱼的食性有关，苗种阶段草鱼主要以浮游动物为食，随着个体生长逐渐转为以水生植物为主，对饲料蛋白质的需求相应呈现逐渐降低的趋势。本研究以初重约1902g的大规格草鱼为试验对象，系统评估其对饲料中蛋白质的需求量，为推进大规格草鱼的健康高效养殖提供参考。</w:t>
      </w:r>
    </w:p>
    <w:p w14:paraId="18A411EE">
      <w:pPr>
        <w:spacing w:line="360" w:lineRule="auto"/>
        <w:rPr>
          <w:sz w:val="24"/>
        </w:rPr>
      </w:pPr>
      <w:r>
        <w:rPr>
          <w:sz w:val="24"/>
        </w:rPr>
        <w:t>1材料与方法</w:t>
      </w:r>
    </w:p>
    <w:p w14:paraId="69509F04">
      <w:pPr>
        <w:spacing w:line="360" w:lineRule="auto"/>
        <w:rPr>
          <w:sz w:val="24"/>
        </w:rPr>
      </w:pPr>
      <w:r>
        <w:rPr>
          <w:sz w:val="24"/>
        </w:rPr>
        <w:t>1.1试验饲料</w:t>
      </w:r>
    </w:p>
    <w:p w14:paraId="54F14833">
      <w:pPr>
        <w:spacing w:line="360" w:lineRule="auto"/>
        <w:ind w:firstLine="480" w:firstLineChars="200"/>
        <w:rPr>
          <w:sz w:val="24"/>
        </w:rPr>
      </w:pPr>
      <w:r>
        <w:rPr>
          <w:sz w:val="24"/>
        </w:rPr>
        <w:t>试验饲料以鱼粉和豆粕为蛋白源，根据不同鱼粉添加量（25.60%、28.50%、31.50%、34.40%、37.40%、40.30%）配制6种不同蛋白水平的试验饲料（26.52%、28.05%、30.97%、31.85%、34.67%、35.79%）。将饲料原料粉碎过80目筛，按照配方比例称重后充分混匀，使用TSE65S饲料机（北京现代洋工机械科技发展有限公司）制粒。试验饲料组成及营养水平见表1。</w:t>
      </w:r>
    </w:p>
    <w:p w14:paraId="476BAE02">
      <w:pPr>
        <w:spacing w:line="360" w:lineRule="auto"/>
        <w:jc w:val="center"/>
      </w:pPr>
      <w:r>
        <w:drawing>
          <wp:inline distT="0" distB="0" distL="114300" distR="114300">
            <wp:extent cx="4178300" cy="40132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48"/>
                    <a:stretch>
                      <a:fillRect/>
                    </a:stretch>
                  </pic:blipFill>
                  <pic:spPr>
                    <a:xfrm>
                      <a:off x="0" y="0"/>
                      <a:ext cx="4178300" cy="4013200"/>
                    </a:xfrm>
                    <a:prstGeom prst="rect">
                      <a:avLst/>
                    </a:prstGeom>
                    <a:noFill/>
                    <a:ln>
                      <a:noFill/>
                    </a:ln>
                  </pic:spPr>
                </pic:pic>
              </a:graphicData>
            </a:graphic>
          </wp:inline>
        </w:drawing>
      </w:r>
      <w:r>
        <w:drawing>
          <wp:inline distT="0" distB="0" distL="114300" distR="114300">
            <wp:extent cx="4133850" cy="2921000"/>
            <wp:effectExtent l="0" t="0" r="635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9"/>
                    <a:stretch>
                      <a:fillRect/>
                    </a:stretch>
                  </pic:blipFill>
                  <pic:spPr>
                    <a:xfrm>
                      <a:off x="0" y="0"/>
                      <a:ext cx="4133850" cy="2921000"/>
                    </a:xfrm>
                    <a:prstGeom prst="rect">
                      <a:avLst/>
                    </a:prstGeom>
                    <a:noFill/>
                    <a:ln>
                      <a:noFill/>
                    </a:ln>
                  </pic:spPr>
                </pic:pic>
              </a:graphicData>
            </a:graphic>
          </wp:inline>
        </w:drawing>
      </w:r>
    </w:p>
    <w:p w14:paraId="08FF68A2">
      <w:pPr>
        <w:spacing w:line="360" w:lineRule="auto"/>
        <w:rPr>
          <w:sz w:val="24"/>
        </w:rPr>
      </w:pPr>
      <w:r>
        <w:rPr>
          <w:sz w:val="24"/>
        </w:rPr>
        <w:t>1.2试验设计与饲养管理</w:t>
      </w:r>
    </w:p>
    <w:p w14:paraId="495DC387">
      <w:pPr>
        <w:spacing w:line="360" w:lineRule="auto"/>
        <w:ind w:firstLine="480" w:firstLineChars="200"/>
        <w:rPr>
          <w:sz w:val="24"/>
        </w:rPr>
      </w:pPr>
      <w:r>
        <w:rPr>
          <w:sz w:val="24"/>
        </w:rPr>
        <w:t>试验在广东海大集团股份有限公司畜牧水产研究中心水产研发总部进行。选取360尾体格健壮、活力充足、初重（1902.32±7.61）g的大规格草鱼随机分为6组，每组4个重复，每个重复15尾，CP1组</w:t>
      </w:r>
      <w:r>
        <w:rPr>
          <w:rFonts w:hint="eastAsia"/>
          <w:sz w:val="24"/>
        </w:rPr>
        <w:t>～</w:t>
      </w:r>
      <w:r>
        <w:rPr>
          <w:sz w:val="24"/>
        </w:rPr>
        <w:t>CP6组分别饲喂6种不同蛋白水平的试验饲料。预试期2w，正式试验期8w。在养殖试验开始前，先将草鱼置于池塘网箱（2m×2m×2m）中暂养2w。暂养结束后，草鱼饥饿24h，选取规格一致的草鱼进行养殖试验。试验期间，每个重复的草鱼置于一个网箱中。每天7</w:t>
      </w:r>
      <w:r>
        <w:rPr>
          <w:rFonts w:hint="eastAsia"/>
          <w:sz w:val="24"/>
        </w:rPr>
        <w:t>:</w:t>
      </w:r>
      <w:r>
        <w:rPr>
          <w:sz w:val="24"/>
        </w:rPr>
        <w:t>00、10</w:t>
      </w:r>
      <w:r>
        <w:rPr>
          <w:rFonts w:hint="eastAsia"/>
          <w:sz w:val="24"/>
        </w:rPr>
        <w:t>:</w:t>
      </w:r>
      <w:r>
        <w:rPr>
          <w:sz w:val="24"/>
        </w:rPr>
        <w:t>00、13</w:t>
      </w:r>
      <w:r>
        <w:rPr>
          <w:rFonts w:hint="eastAsia"/>
          <w:sz w:val="24"/>
        </w:rPr>
        <w:t>:</w:t>
      </w:r>
      <w:r>
        <w:rPr>
          <w:sz w:val="24"/>
        </w:rPr>
        <w:t>00、16</w:t>
      </w:r>
      <w:r>
        <w:rPr>
          <w:rFonts w:hint="eastAsia"/>
          <w:sz w:val="24"/>
        </w:rPr>
        <w:t>:</w:t>
      </w:r>
      <w:r>
        <w:rPr>
          <w:sz w:val="24"/>
        </w:rPr>
        <w:t>00人工投喂4次，采取等量投喂策略，投喂量约为体重的</w:t>
      </w:r>
      <w:r>
        <w:rPr>
          <w:rFonts w:hint="eastAsia"/>
          <w:sz w:val="24"/>
        </w:rPr>
        <w:t>1.5%～2.0%</w:t>
      </w:r>
      <w:r>
        <w:rPr>
          <w:sz w:val="24"/>
        </w:rPr>
        <w:t>。每周测量池塘水质指标，使氨氮含量为0.2~0.4 mg/L，溶解氧含量为5.5~6.7 mg/L，pH值为6.8~7.0，水温为26~33℃。</w:t>
      </w:r>
    </w:p>
    <w:p w14:paraId="2D22E01F">
      <w:pPr>
        <w:spacing w:line="360" w:lineRule="auto"/>
        <w:rPr>
          <w:sz w:val="24"/>
        </w:rPr>
      </w:pPr>
      <w:r>
        <w:rPr>
          <w:sz w:val="24"/>
        </w:rPr>
        <w:t>1.3样品采集</w:t>
      </w:r>
    </w:p>
    <w:p w14:paraId="2DFCC314">
      <w:pPr>
        <w:spacing w:line="360" w:lineRule="auto"/>
        <w:ind w:firstLine="480" w:firstLineChars="200"/>
        <w:rPr>
          <w:sz w:val="24"/>
        </w:rPr>
      </w:pPr>
      <w:r>
        <w:rPr>
          <w:sz w:val="24"/>
        </w:rPr>
        <w:t>养殖试验结束后，所有草鱼禁食24h，用MS222（100 mg/L）麻醉，统计每个网箱中的草鱼数量并称重。每个网箱随机取3尾鱼，测量体长和体重后，用1mL无菌注射器进行尾静脉采血，分装于2mL离心管中4℃静置12h，4℃、3000</w:t>
      </w:r>
      <w:r>
        <w:rPr>
          <w:rFonts w:hint="eastAsia"/>
          <w:sz w:val="24"/>
        </w:rPr>
        <w:t xml:space="preserve"> </w:t>
      </w:r>
      <w:r>
        <w:rPr>
          <w:sz w:val="24"/>
        </w:rPr>
        <w:t>r/min离心10min，用移液枪吸取上层血清，分装于小管后置于-20℃冰箱中保存。对采血后的草鱼解剖，取中肠、肝脏组织包入灭菌后的锡箔纸内迅速放入液氮中速冻，保存于-80℃冰箱中。每个网箱另取2尾鱼用于体成分分析。</w:t>
      </w:r>
    </w:p>
    <w:p w14:paraId="54D4AA7C">
      <w:pPr>
        <w:spacing w:line="360" w:lineRule="auto"/>
        <w:rPr>
          <w:sz w:val="24"/>
        </w:rPr>
      </w:pPr>
      <w:r>
        <w:rPr>
          <w:sz w:val="24"/>
        </w:rPr>
        <w:t>1.4测定指标及方法</w:t>
      </w:r>
    </w:p>
    <w:p w14:paraId="7D9D372D">
      <w:pPr>
        <w:spacing w:line="360" w:lineRule="auto"/>
        <w:rPr>
          <w:sz w:val="24"/>
        </w:rPr>
      </w:pPr>
      <w:r>
        <w:rPr>
          <w:sz w:val="24"/>
        </w:rPr>
        <w:t>1.4.1生长性能及形态学指标</w:t>
      </w:r>
    </w:p>
    <w:p w14:paraId="135ABB47">
      <w:pPr>
        <w:spacing w:line="360" w:lineRule="auto"/>
        <w:ind w:firstLine="480" w:firstLineChars="200"/>
        <w:rPr>
          <w:sz w:val="24"/>
        </w:rPr>
      </w:pPr>
      <w:r>
        <w:rPr>
          <w:sz w:val="24"/>
        </w:rPr>
        <w:t>根据测定数据计算生长性能及形态学指标。</w:t>
      </w:r>
    </w:p>
    <w:p w14:paraId="1ACF4513">
      <w:pPr>
        <w:spacing w:line="360" w:lineRule="auto"/>
        <w:ind w:firstLine="480" w:firstLineChars="200"/>
        <w:rPr>
          <w:sz w:val="24"/>
        </w:rPr>
      </w:pPr>
      <w:r>
        <w:rPr>
          <w:sz w:val="24"/>
        </w:rPr>
        <w:t>成活率=成活数量/初始数量×100% (1)</w:t>
      </w:r>
    </w:p>
    <w:p w14:paraId="1C9998CF">
      <w:pPr>
        <w:spacing w:line="360" w:lineRule="auto"/>
        <w:ind w:firstLine="480" w:firstLineChars="200"/>
        <w:rPr>
          <w:sz w:val="24"/>
        </w:rPr>
      </w:pPr>
      <w:r>
        <w:rPr>
          <w:sz w:val="24"/>
        </w:rPr>
        <w:t>增重率=(末重-初重)/初重×100% (2)</w:t>
      </w:r>
    </w:p>
    <w:p w14:paraId="4B880BCC">
      <w:pPr>
        <w:spacing w:line="360" w:lineRule="auto"/>
        <w:ind w:firstLine="480" w:firstLineChars="200"/>
        <w:rPr>
          <w:sz w:val="24"/>
        </w:rPr>
      </w:pPr>
      <w:r>
        <w:rPr>
          <w:sz w:val="24"/>
        </w:rPr>
        <w:t>特定生长率=(ln末重-ln初重)/试验天数×100% (3)</w:t>
      </w:r>
    </w:p>
    <w:p w14:paraId="3D397FB4">
      <w:pPr>
        <w:spacing w:line="360" w:lineRule="auto"/>
        <w:ind w:firstLine="480" w:firstLineChars="200"/>
        <w:rPr>
          <w:sz w:val="24"/>
        </w:rPr>
      </w:pPr>
      <w:r>
        <w:rPr>
          <w:sz w:val="24"/>
        </w:rPr>
        <w:t>饲料系数=干物质摄入量/(末重-初重) (4)</w:t>
      </w:r>
    </w:p>
    <w:p w14:paraId="61E4FA20">
      <w:pPr>
        <w:spacing w:line="360" w:lineRule="auto"/>
        <w:ind w:firstLine="480" w:firstLineChars="200"/>
        <w:rPr>
          <w:sz w:val="24"/>
        </w:rPr>
      </w:pPr>
      <w:r>
        <w:rPr>
          <w:sz w:val="24"/>
        </w:rPr>
        <w:t>肥满度=末重/末体长</w:t>
      </w:r>
      <w:r>
        <w:rPr>
          <w:sz w:val="24"/>
          <w:vertAlign w:val="superscript"/>
        </w:rPr>
        <w:t>3</w:t>
      </w:r>
      <w:r>
        <w:rPr>
          <w:sz w:val="24"/>
        </w:rPr>
        <w:t>×100 (5)</w:t>
      </w:r>
    </w:p>
    <w:p w14:paraId="285C8062">
      <w:pPr>
        <w:spacing w:line="360" w:lineRule="auto"/>
        <w:ind w:firstLine="480" w:firstLineChars="200"/>
        <w:rPr>
          <w:sz w:val="24"/>
        </w:rPr>
      </w:pPr>
      <w:r>
        <w:rPr>
          <w:sz w:val="24"/>
        </w:rPr>
        <w:t>肝体比=肝脏重/鱼体重×100% (6)</w:t>
      </w:r>
    </w:p>
    <w:p w14:paraId="7FB5F282">
      <w:pPr>
        <w:spacing w:line="360" w:lineRule="auto"/>
        <w:ind w:firstLine="480" w:firstLineChars="200"/>
        <w:rPr>
          <w:sz w:val="24"/>
        </w:rPr>
      </w:pPr>
      <w:r>
        <w:rPr>
          <w:sz w:val="24"/>
        </w:rPr>
        <w:t>脏体比=内脏团重/鱼体重×100% (7)</w:t>
      </w:r>
    </w:p>
    <w:p w14:paraId="02256D4D">
      <w:pPr>
        <w:spacing w:line="360" w:lineRule="auto"/>
        <w:rPr>
          <w:sz w:val="24"/>
        </w:rPr>
      </w:pPr>
      <w:r>
        <w:rPr>
          <w:sz w:val="24"/>
        </w:rPr>
        <w:t>1.4.2饲料营养成分与全鱼体成分</w:t>
      </w:r>
    </w:p>
    <w:p w14:paraId="70DED10D">
      <w:pPr>
        <w:spacing w:line="360" w:lineRule="auto"/>
        <w:ind w:firstLine="480" w:firstLineChars="200"/>
        <w:rPr>
          <w:sz w:val="24"/>
        </w:rPr>
      </w:pPr>
      <w:r>
        <w:rPr>
          <w:sz w:val="24"/>
        </w:rPr>
        <w:t>试验饲料营养成分和草鱼体成分采用AOAC（1995）的方法进行测定。水分含量采用105℃烘箱恒重法测定；粗蛋白含量使用Kjeltec 2300 Analyzer凯氏定氮仪（丹麦福斯分析仪器公司）测定；粗脂肪含量使用Soxtec System HT6索氏抽提仪（瑞典特卡托公司）测定</w:t>
      </w:r>
      <w:r>
        <w:rPr>
          <w:rFonts w:hint="eastAsia"/>
          <w:sz w:val="24"/>
        </w:rPr>
        <w:t>；</w:t>
      </w:r>
      <w:r>
        <w:rPr>
          <w:sz w:val="24"/>
        </w:rPr>
        <w:t>粗灰分含量采用马弗炉550℃灼烧至恒重后测定。</w:t>
      </w:r>
    </w:p>
    <w:p w14:paraId="2F06D4C4">
      <w:pPr>
        <w:spacing w:line="360" w:lineRule="auto"/>
        <w:rPr>
          <w:sz w:val="24"/>
        </w:rPr>
      </w:pPr>
      <w:r>
        <w:rPr>
          <w:sz w:val="24"/>
        </w:rPr>
        <w:t>1.4.3血清生化指标</w:t>
      </w:r>
    </w:p>
    <w:p w14:paraId="341D231E">
      <w:pPr>
        <w:spacing w:line="360" w:lineRule="auto"/>
        <w:ind w:firstLine="480" w:firstLineChars="200"/>
        <w:rPr>
          <w:sz w:val="24"/>
        </w:rPr>
      </w:pPr>
      <w:r>
        <w:rPr>
          <w:sz w:val="24"/>
        </w:rPr>
        <w:t>血清总蛋白（TP）、碱性磷酸酶（ALP）、谷丙转氨酶（ALT）、谷草转氨酶（AST）、总胆固醇（TC）、葡萄糖（GLU）和甘油三酯（TG）等指标使用BS-460全自动生化分析仪（深圳迈瑞生物医疗电子股份有限公司）测定。</w:t>
      </w:r>
    </w:p>
    <w:p w14:paraId="5CD90D6A">
      <w:pPr>
        <w:spacing w:line="360" w:lineRule="auto"/>
        <w:rPr>
          <w:sz w:val="24"/>
        </w:rPr>
      </w:pPr>
      <w:r>
        <w:rPr>
          <w:sz w:val="24"/>
        </w:rPr>
        <w:t>1.4.4肠道和肝脏消化酶活性</w:t>
      </w:r>
    </w:p>
    <w:p w14:paraId="0DE47B58">
      <w:pPr>
        <w:adjustRightInd w:val="0"/>
        <w:spacing w:line="360" w:lineRule="auto"/>
        <w:ind w:firstLine="480" w:firstLineChars="200"/>
        <w:rPr>
          <w:sz w:val="24"/>
        </w:rPr>
      </w:pPr>
      <w:r>
        <w:rPr>
          <w:sz w:val="24"/>
        </w:rPr>
        <w:t>胰蛋白酶活性采用紫外比色法测定（检测波长为253nm），脂肪酶活性采用比色法测定（检测波长为420nm），淀粉酶活性采用淀粉-碘比色法测定（检测波长为660nm）。所用试剂盒均购自南京建成生物工程研究所有限公司。</w:t>
      </w:r>
    </w:p>
    <w:p w14:paraId="115C9EA9">
      <w:pPr>
        <w:adjustRightInd w:val="0"/>
        <w:spacing w:line="360" w:lineRule="auto"/>
        <w:rPr>
          <w:sz w:val="24"/>
        </w:rPr>
      </w:pPr>
      <w:r>
        <w:rPr>
          <w:sz w:val="24"/>
        </w:rPr>
        <w:t>1.4.5肝脏抗氧化指标</w:t>
      </w:r>
    </w:p>
    <w:p w14:paraId="293F7C02">
      <w:pPr>
        <w:adjustRightInd w:val="0"/>
        <w:spacing w:line="360" w:lineRule="auto"/>
        <w:ind w:firstLine="480" w:firstLineChars="200"/>
        <w:rPr>
          <w:sz w:val="24"/>
        </w:rPr>
      </w:pPr>
      <w:r>
        <w:rPr>
          <w:sz w:val="24"/>
        </w:rPr>
        <w:t>称取适量解冻后的肝脏样品，与生理盐水按质量体积比1∶9混合，冰浴匀浆后，4℃、2500g离心10min，用移液枪收集上清液。SOD、过氧化氢酶（CAT）、GSH-Px、MDA等指标均使用南京建成生物工程研究所有限公司试剂盒测定。</w:t>
      </w:r>
    </w:p>
    <w:p w14:paraId="03851E90">
      <w:pPr>
        <w:adjustRightInd w:val="0"/>
        <w:spacing w:line="360" w:lineRule="auto"/>
        <w:rPr>
          <w:sz w:val="24"/>
        </w:rPr>
      </w:pPr>
      <w:r>
        <w:rPr>
          <w:sz w:val="24"/>
        </w:rPr>
        <w:t>1.5数据统计与分析</w:t>
      </w:r>
    </w:p>
    <w:p w14:paraId="24F238E1">
      <w:pPr>
        <w:adjustRightInd w:val="0"/>
        <w:spacing w:line="360" w:lineRule="auto"/>
        <w:ind w:firstLine="480" w:firstLineChars="200"/>
        <w:rPr>
          <w:sz w:val="24"/>
        </w:rPr>
      </w:pPr>
      <w:r>
        <w:rPr>
          <w:sz w:val="24"/>
        </w:rPr>
        <w:t>试验数据采用SPSS 19.0进行单因素方差分析，Duncan's多重比较，结果以</w:t>
      </w:r>
      <w:r>
        <w:rPr>
          <w:rFonts w:hint="eastAsia"/>
          <w:sz w:val="24"/>
        </w:rPr>
        <w:t>“</w:t>
      </w:r>
      <w:r>
        <w:rPr>
          <w:sz w:val="24"/>
        </w:rPr>
        <w:t>平均值±标准误</w:t>
      </w:r>
      <w:r>
        <w:rPr>
          <w:rFonts w:hint="eastAsia"/>
          <w:sz w:val="24"/>
        </w:rPr>
        <w:t>”</w:t>
      </w:r>
      <w:r>
        <w:rPr>
          <w:sz w:val="24"/>
        </w:rPr>
        <w:t>表示，</w:t>
      </w:r>
      <w:r>
        <w:rPr>
          <w:i/>
          <w:iCs/>
          <w:sz w:val="24"/>
        </w:rPr>
        <w:t>P</w:t>
      </w:r>
      <w:r>
        <w:rPr>
          <w:sz w:val="24"/>
        </w:rPr>
        <w:t>&lt;0.05表示差异显著。</w:t>
      </w:r>
    </w:p>
    <w:p w14:paraId="7B7CDCE9">
      <w:pPr>
        <w:adjustRightInd w:val="0"/>
        <w:spacing w:line="360" w:lineRule="auto"/>
        <w:rPr>
          <w:sz w:val="24"/>
        </w:rPr>
      </w:pPr>
      <w:r>
        <w:rPr>
          <w:sz w:val="24"/>
        </w:rPr>
        <w:t>2结果与分析</w:t>
      </w:r>
    </w:p>
    <w:p w14:paraId="0033DA4C">
      <w:pPr>
        <w:adjustRightInd w:val="0"/>
        <w:spacing w:line="360" w:lineRule="auto"/>
        <w:rPr>
          <w:sz w:val="24"/>
        </w:rPr>
      </w:pPr>
      <w:r>
        <w:rPr>
          <w:sz w:val="24"/>
        </w:rPr>
        <w:t>2.1饲料蛋白水平对草鱼生长性能的影响（见表2、图1）</w:t>
      </w:r>
    </w:p>
    <w:p w14:paraId="604A4EA1">
      <w:pPr>
        <w:adjustRightInd w:val="0"/>
        <w:spacing w:line="360" w:lineRule="auto"/>
        <w:ind w:firstLine="480" w:firstLineChars="200"/>
        <w:rPr>
          <w:sz w:val="24"/>
        </w:rPr>
      </w:pPr>
      <w:r>
        <w:rPr>
          <w:sz w:val="24"/>
        </w:rPr>
        <w:t>由表2可知，饲料蛋白水平对草鱼的成活率无显著影响（</w:t>
      </w:r>
      <w:r>
        <w:rPr>
          <w:i/>
          <w:iCs/>
          <w:sz w:val="24"/>
        </w:rPr>
        <w:t>P</w:t>
      </w:r>
      <w:r>
        <w:rPr>
          <w:sz w:val="24"/>
        </w:rPr>
        <w:t>&gt;0.05）。随着饲料蛋白水平的升高，草鱼的末重、特定生长率和增重率呈先升高后降低的趋势，其中CP4组、CP5组显著高于CP1组（</w:t>
      </w:r>
      <w:r>
        <w:rPr>
          <w:i/>
          <w:iCs/>
          <w:sz w:val="24"/>
        </w:rPr>
        <w:t>P</w:t>
      </w:r>
      <w:r>
        <w:rPr>
          <w:sz w:val="24"/>
        </w:rPr>
        <w:t>&lt;0.05）。CP5组、CP6组的饲料系数显著低于CP1组、CP2组和CP3组（</w:t>
      </w:r>
      <w:r>
        <w:rPr>
          <w:i/>
          <w:iCs/>
          <w:sz w:val="24"/>
        </w:rPr>
        <w:t>P</w:t>
      </w:r>
      <w:r>
        <w:rPr>
          <w:sz w:val="24"/>
        </w:rPr>
        <w:t>&lt;0.05）。</w:t>
      </w:r>
    </w:p>
    <w:p w14:paraId="1DB75919">
      <w:pPr>
        <w:adjustRightInd w:val="0"/>
        <w:spacing w:line="360" w:lineRule="auto"/>
        <w:jc w:val="center"/>
      </w:pPr>
      <w:r>
        <w:drawing>
          <wp:inline distT="0" distB="0" distL="114300" distR="114300">
            <wp:extent cx="5270500" cy="1724025"/>
            <wp:effectExtent l="0" t="0" r="0" b="317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50"/>
                    <a:stretch>
                      <a:fillRect/>
                    </a:stretch>
                  </pic:blipFill>
                  <pic:spPr>
                    <a:xfrm>
                      <a:off x="0" y="0"/>
                      <a:ext cx="5270500" cy="1724025"/>
                    </a:xfrm>
                    <a:prstGeom prst="rect">
                      <a:avLst/>
                    </a:prstGeom>
                    <a:noFill/>
                    <a:ln>
                      <a:noFill/>
                    </a:ln>
                  </pic:spPr>
                </pic:pic>
              </a:graphicData>
            </a:graphic>
          </wp:inline>
        </w:drawing>
      </w:r>
    </w:p>
    <w:p w14:paraId="1DE1D772">
      <w:pPr>
        <w:adjustRightInd w:val="0"/>
        <w:spacing w:line="360" w:lineRule="auto"/>
        <w:jc w:val="center"/>
      </w:pPr>
      <w:r>
        <w:drawing>
          <wp:inline distT="0" distB="0" distL="114300" distR="114300">
            <wp:extent cx="3600450" cy="215900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1"/>
                    <a:stretch>
                      <a:fillRect/>
                    </a:stretch>
                  </pic:blipFill>
                  <pic:spPr>
                    <a:xfrm>
                      <a:off x="0" y="0"/>
                      <a:ext cx="3600450" cy="2159000"/>
                    </a:xfrm>
                    <a:prstGeom prst="rect">
                      <a:avLst/>
                    </a:prstGeom>
                    <a:noFill/>
                    <a:ln>
                      <a:noFill/>
                    </a:ln>
                  </pic:spPr>
                </pic:pic>
              </a:graphicData>
            </a:graphic>
          </wp:inline>
        </w:drawing>
      </w:r>
    </w:p>
    <w:p w14:paraId="7C12EF33">
      <w:pPr>
        <w:adjustRightInd w:val="0"/>
        <w:spacing w:line="360" w:lineRule="auto"/>
        <w:rPr>
          <w:sz w:val="24"/>
        </w:rPr>
      </w:pPr>
      <w:r>
        <w:rPr>
          <w:sz w:val="24"/>
        </w:rPr>
        <w:t>2.2饲料蛋白水平对草鱼体成分和形态学指标的影响（见表3）</w:t>
      </w:r>
    </w:p>
    <w:p w14:paraId="7D6F7FF8">
      <w:pPr>
        <w:adjustRightInd w:val="0"/>
        <w:spacing w:line="360" w:lineRule="auto"/>
        <w:ind w:firstLine="480" w:firstLineChars="200"/>
        <w:rPr>
          <w:sz w:val="24"/>
        </w:rPr>
      </w:pPr>
      <w:r>
        <w:rPr>
          <w:sz w:val="24"/>
        </w:rPr>
        <w:t>由表3可知，CP6组水分含量显著高于CP1组和CP2组（</w:t>
      </w:r>
      <w:r>
        <w:rPr>
          <w:i/>
          <w:iCs/>
          <w:sz w:val="24"/>
        </w:rPr>
        <w:t>P</w:t>
      </w:r>
      <w:r>
        <w:rPr>
          <w:sz w:val="24"/>
        </w:rPr>
        <w:t>&lt;0.05），CP3组和CP6组粗蛋白含量显著高于CP1组（</w:t>
      </w:r>
      <w:r>
        <w:rPr>
          <w:i/>
          <w:iCs/>
          <w:sz w:val="24"/>
        </w:rPr>
        <w:t>P</w:t>
      </w:r>
      <w:r>
        <w:rPr>
          <w:sz w:val="24"/>
        </w:rPr>
        <w:t>&lt;0.05），CP4组、CP5组和CP6组粗脂肪含量显著高于CP1组（</w:t>
      </w:r>
      <w:r>
        <w:rPr>
          <w:i/>
          <w:iCs/>
          <w:sz w:val="24"/>
        </w:rPr>
        <w:t>P</w:t>
      </w:r>
      <w:r>
        <w:rPr>
          <w:sz w:val="24"/>
        </w:rPr>
        <w:t>&lt;0.05）。CP4组、CP5组和CP6组肥满度显著高于CP1组（</w:t>
      </w:r>
      <w:r>
        <w:rPr>
          <w:i/>
          <w:iCs/>
          <w:sz w:val="24"/>
        </w:rPr>
        <w:t>P</w:t>
      </w:r>
      <w:r>
        <w:rPr>
          <w:sz w:val="24"/>
        </w:rPr>
        <w:t>&lt;0.05），饲料蛋白水平对肝体比和脏体比的影响不显著（</w:t>
      </w:r>
      <w:r>
        <w:rPr>
          <w:i/>
          <w:iCs/>
          <w:sz w:val="24"/>
        </w:rPr>
        <w:t>P</w:t>
      </w:r>
      <w:r>
        <w:rPr>
          <w:sz w:val="24"/>
        </w:rPr>
        <w:t>&gt;0.05）。</w:t>
      </w:r>
    </w:p>
    <w:p w14:paraId="398D4475">
      <w:pPr>
        <w:adjustRightInd w:val="0"/>
        <w:spacing w:line="360" w:lineRule="auto"/>
        <w:jc w:val="center"/>
      </w:pPr>
      <w:r>
        <w:drawing>
          <wp:inline distT="0" distB="0" distL="114300" distR="114300">
            <wp:extent cx="5273040" cy="1536065"/>
            <wp:effectExtent l="0" t="0" r="1016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2"/>
                    <a:stretch>
                      <a:fillRect/>
                    </a:stretch>
                  </pic:blipFill>
                  <pic:spPr>
                    <a:xfrm>
                      <a:off x="0" y="0"/>
                      <a:ext cx="5273040" cy="1536065"/>
                    </a:xfrm>
                    <a:prstGeom prst="rect">
                      <a:avLst/>
                    </a:prstGeom>
                    <a:noFill/>
                    <a:ln>
                      <a:noFill/>
                    </a:ln>
                  </pic:spPr>
                </pic:pic>
              </a:graphicData>
            </a:graphic>
          </wp:inline>
        </w:drawing>
      </w:r>
    </w:p>
    <w:p w14:paraId="7B87FD9D">
      <w:pPr>
        <w:adjustRightInd w:val="0"/>
        <w:spacing w:line="360" w:lineRule="auto"/>
        <w:rPr>
          <w:sz w:val="24"/>
        </w:rPr>
      </w:pPr>
      <w:r>
        <w:rPr>
          <w:sz w:val="24"/>
        </w:rPr>
        <w:t>2.3饲料蛋白水平对草鱼血清生化指标的影响（见表4）</w:t>
      </w:r>
    </w:p>
    <w:p w14:paraId="2B196A52">
      <w:pPr>
        <w:adjustRightInd w:val="0"/>
        <w:spacing w:line="360" w:lineRule="auto"/>
        <w:ind w:firstLine="480" w:firstLineChars="200"/>
        <w:rPr>
          <w:sz w:val="24"/>
        </w:rPr>
      </w:pPr>
      <w:r>
        <w:rPr>
          <w:sz w:val="24"/>
        </w:rPr>
        <w:t>由表4可知，随着饲料蛋白水平的升高，TP含量</w:t>
      </w:r>
      <w:r>
        <w:rPr>
          <w:rFonts w:hint="eastAsia"/>
          <w:sz w:val="24"/>
        </w:rPr>
        <w:t>呈现</w:t>
      </w:r>
      <w:r>
        <w:rPr>
          <w:sz w:val="24"/>
        </w:rPr>
        <w:t>升高后降低的趋势，其中CP4组和CP5组显著高于CP1组（</w:t>
      </w:r>
      <w:r>
        <w:rPr>
          <w:i/>
          <w:iCs/>
          <w:sz w:val="24"/>
        </w:rPr>
        <w:t>P</w:t>
      </w:r>
      <w:r>
        <w:rPr>
          <w:sz w:val="24"/>
        </w:rPr>
        <w:t>&lt;0.05）。CP5组ALP活性显著高于CP1组（</w:t>
      </w:r>
      <w:r>
        <w:rPr>
          <w:i/>
          <w:iCs/>
          <w:sz w:val="24"/>
        </w:rPr>
        <w:t>P</w:t>
      </w:r>
      <w:r>
        <w:rPr>
          <w:sz w:val="24"/>
        </w:rPr>
        <w:t>&lt;0.05），CP6组AST活性显著高于CP1组（</w:t>
      </w:r>
      <w:r>
        <w:rPr>
          <w:i/>
          <w:iCs/>
          <w:sz w:val="24"/>
        </w:rPr>
        <w:t>P</w:t>
      </w:r>
      <w:r>
        <w:rPr>
          <w:sz w:val="24"/>
        </w:rPr>
        <w:t>&lt;0.05），CP4组ALT活性显著高于CP1组（</w:t>
      </w:r>
      <w:r>
        <w:rPr>
          <w:i/>
          <w:iCs/>
          <w:sz w:val="24"/>
        </w:rPr>
        <w:t>P</w:t>
      </w:r>
      <w:r>
        <w:rPr>
          <w:sz w:val="24"/>
        </w:rPr>
        <w:t>&lt;0.05）。饲料蛋白水平对TC含量无显著影响（</w:t>
      </w:r>
      <w:r>
        <w:rPr>
          <w:i/>
          <w:iCs/>
          <w:sz w:val="24"/>
        </w:rPr>
        <w:t>P</w:t>
      </w:r>
      <w:r>
        <w:rPr>
          <w:sz w:val="24"/>
        </w:rPr>
        <w:t>&gt;0.05），CP6组GLU含量显著高于CP1组（</w:t>
      </w:r>
      <w:r>
        <w:rPr>
          <w:i/>
          <w:iCs/>
          <w:sz w:val="24"/>
        </w:rPr>
        <w:t>P</w:t>
      </w:r>
      <w:r>
        <w:rPr>
          <w:sz w:val="24"/>
        </w:rPr>
        <w:t>&lt;0.05），CP4组和CP6组TG含量显著高于CP1组、CP2组和CP3组（</w:t>
      </w:r>
      <w:r>
        <w:rPr>
          <w:i/>
          <w:iCs/>
          <w:sz w:val="24"/>
        </w:rPr>
        <w:t>P</w:t>
      </w:r>
      <w:r>
        <w:rPr>
          <w:sz w:val="24"/>
        </w:rPr>
        <w:t>&lt;0.05）。</w:t>
      </w:r>
    </w:p>
    <w:p w14:paraId="0910900D">
      <w:pPr>
        <w:adjustRightInd w:val="0"/>
        <w:spacing w:line="360" w:lineRule="auto"/>
        <w:jc w:val="center"/>
      </w:pPr>
      <w:r>
        <w:drawing>
          <wp:inline distT="0" distB="0" distL="114300" distR="114300">
            <wp:extent cx="5267325" cy="1513205"/>
            <wp:effectExtent l="0" t="0" r="3175" b="1079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53"/>
                    <a:stretch>
                      <a:fillRect/>
                    </a:stretch>
                  </pic:blipFill>
                  <pic:spPr>
                    <a:xfrm>
                      <a:off x="0" y="0"/>
                      <a:ext cx="5267325" cy="1513205"/>
                    </a:xfrm>
                    <a:prstGeom prst="rect">
                      <a:avLst/>
                    </a:prstGeom>
                    <a:noFill/>
                    <a:ln>
                      <a:noFill/>
                    </a:ln>
                  </pic:spPr>
                </pic:pic>
              </a:graphicData>
            </a:graphic>
          </wp:inline>
        </w:drawing>
      </w:r>
    </w:p>
    <w:p w14:paraId="5B730868">
      <w:pPr>
        <w:adjustRightInd w:val="0"/>
        <w:spacing w:line="360" w:lineRule="auto"/>
        <w:rPr>
          <w:sz w:val="24"/>
        </w:rPr>
      </w:pPr>
      <w:r>
        <w:rPr>
          <w:sz w:val="24"/>
        </w:rPr>
        <w:t>2.4饲料蛋白水平对草鱼消化酶活性的影响（见表5）</w:t>
      </w:r>
    </w:p>
    <w:p w14:paraId="671654C5">
      <w:pPr>
        <w:adjustRightInd w:val="0"/>
        <w:spacing w:line="360" w:lineRule="auto"/>
        <w:ind w:firstLine="480" w:firstLineChars="200"/>
        <w:rPr>
          <w:sz w:val="24"/>
        </w:rPr>
      </w:pPr>
      <w:r>
        <w:rPr>
          <w:sz w:val="24"/>
        </w:rPr>
        <w:t>由表5可知，CP4组、CP5组和CP6组中肠胰蛋白酶活性显著高于CP1组（</w:t>
      </w:r>
      <w:r>
        <w:rPr>
          <w:i/>
          <w:iCs/>
          <w:sz w:val="24"/>
        </w:rPr>
        <w:t>P</w:t>
      </w:r>
      <w:r>
        <w:rPr>
          <w:sz w:val="24"/>
        </w:rPr>
        <w:t>&lt;0.05），CP3组和CP5组中肠淀粉酶活性显著低于CP1组（</w:t>
      </w:r>
      <w:r>
        <w:rPr>
          <w:i/>
          <w:iCs/>
          <w:sz w:val="24"/>
        </w:rPr>
        <w:t>P</w:t>
      </w:r>
      <w:r>
        <w:rPr>
          <w:sz w:val="24"/>
        </w:rPr>
        <w:t>&lt;0.05），饲料蛋白水平对中肠脂肪酶活性的影响不显著（</w:t>
      </w:r>
      <w:r>
        <w:rPr>
          <w:i/>
          <w:iCs/>
          <w:sz w:val="24"/>
        </w:rPr>
        <w:t>P</w:t>
      </w:r>
      <w:r>
        <w:rPr>
          <w:sz w:val="24"/>
        </w:rPr>
        <w:t>&gt;0.05）。CP5组肝脏胰蛋白酶活性显著高于CP1组（</w:t>
      </w:r>
      <w:r>
        <w:rPr>
          <w:i/>
          <w:iCs/>
          <w:sz w:val="24"/>
        </w:rPr>
        <w:t>P</w:t>
      </w:r>
      <w:r>
        <w:rPr>
          <w:sz w:val="24"/>
        </w:rPr>
        <w:t>&lt;0.05），饲料蛋白水平对淀粉酶活性的影响不显著（</w:t>
      </w:r>
      <w:r>
        <w:rPr>
          <w:i/>
          <w:iCs/>
          <w:sz w:val="24"/>
        </w:rPr>
        <w:t>P</w:t>
      </w:r>
      <w:r>
        <w:rPr>
          <w:sz w:val="24"/>
        </w:rPr>
        <w:t>&gt;0.05），CP4组和CP6组肝脏脂肪酶活性显著低于CP1组（</w:t>
      </w:r>
      <w:r>
        <w:rPr>
          <w:i/>
          <w:iCs/>
          <w:sz w:val="24"/>
        </w:rPr>
        <w:t>P</w:t>
      </w:r>
      <w:r>
        <w:rPr>
          <w:sz w:val="24"/>
        </w:rPr>
        <w:t>&lt;0.05）。</w:t>
      </w:r>
    </w:p>
    <w:p w14:paraId="5EBF0559">
      <w:pPr>
        <w:adjustRightInd w:val="0"/>
        <w:spacing w:line="360" w:lineRule="auto"/>
        <w:jc w:val="center"/>
      </w:pPr>
      <w:r>
        <w:drawing>
          <wp:inline distT="0" distB="0" distL="114300" distR="114300">
            <wp:extent cx="5271770" cy="1692275"/>
            <wp:effectExtent l="0" t="0" r="11430"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54"/>
                    <a:stretch>
                      <a:fillRect/>
                    </a:stretch>
                  </pic:blipFill>
                  <pic:spPr>
                    <a:xfrm>
                      <a:off x="0" y="0"/>
                      <a:ext cx="5271770" cy="1692275"/>
                    </a:xfrm>
                    <a:prstGeom prst="rect">
                      <a:avLst/>
                    </a:prstGeom>
                    <a:noFill/>
                    <a:ln>
                      <a:noFill/>
                    </a:ln>
                  </pic:spPr>
                </pic:pic>
              </a:graphicData>
            </a:graphic>
          </wp:inline>
        </w:drawing>
      </w:r>
    </w:p>
    <w:p w14:paraId="613D03DE">
      <w:pPr>
        <w:adjustRightInd w:val="0"/>
        <w:spacing w:line="360" w:lineRule="auto"/>
        <w:rPr>
          <w:sz w:val="24"/>
        </w:rPr>
      </w:pPr>
      <w:r>
        <w:rPr>
          <w:sz w:val="24"/>
        </w:rPr>
        <w:t>2.5饲料蛋白水平对草鱼肝脏抗氧化指标的影响（见表6）</w:t>
      </w:r>
    </w:p>
    <w:p w14:paraId="7CCA41FF">
      <w:pPr>
        <w:adjustRightInd w:val="0"/>
        <w:spacing w:line="360" w:lineRule="auto"/>
        <w:ind w:firstLine="480" w:firstLineChars="200"/>
        <w:rPr>
          <w:sz w:val="24"/>
        </w:rPr>
      </w:pPr>
      <w:r>
        <w:rPr>
          <w:sz w:val="24"/>
        </w:rPr>
        <w:t>由表6可知，随着饲料蛋白水平的升高，SOD和GSH-Px活性</w:t>
      </w:r>
      <w:r>
        <w:rPr>
          <w:rFonts w:hint="eastAsia"/>
          <w:sz w:val="24"/>
        </w:rPr>
        <w:t>呈现</w:t>
      </w:r>
      <w:r>
        <w:rPr>
          <w:sz w:val="24"/>
        </w:rPr>
        <w:t>升高后降低的趋势，其中CP3组和CP4组SOD活性显著高于CP1组（</w:t>
      </w:r>
      <w:r>
        <w:rPr>
          <w:i/>
          <w:iCs/>
          <w:sz w:val="24"/>
        </w:rPr>
        <w:t>P</w:t>
      </w:r>
      <w:r>
        <w:rPr>
          <w:sz w:val="24"/>
        </w:rPr>
        <w:t>&lt;0.05），CP3组GSH-Px活性显著高于CP1组（</w:t>
      </w:r>
      <w:r>
        <w:rPr>
          <w:i/>
          <w:iCs/>
          <w:sz w:val="24"/>
        </w:rPr>
        <w:t>P</w:t>
      </w:r>
      <w:r>
        <w:rPr>
          <w:sz w:val="24"/>
        </w:rPr>
        <w:t>&lt;0.05）；饲料蛋白水平对肝脏CAT活性的影响不显著（</w:t>
      </w:r>
      <w:r>
        <w:rPr>
          <w:i/>
          <w:iCs/>
          <w:sz w:val="24"/>
        </w:rPr>
        <w:t>P</w:t>
      </w:r>
      <w:r>
        <w:rPr>
          <w:sz w:val="24"/>
        </w:rPr>
        <w:t>&gt;0.05）；CP3组MDA含量显著低于CP1组（</w:t>
      </w:r>
      <w:r>
        <w:rPr>
          <w:i/>
          <w:iCs/>
          <w:sz w:val="24"/>
        </w:rPr>
        <w:t>P</w:t>
      </w:r>
      <w:r>
        <w:rPr>
          <w:sz w:val="24"/>
        </w:rPr>
        <w:t>&lt;0.05）。</w:t>
      </w:r>
    </w:p>
    <w:p w14:paraId="7652D87B">
      <w:pPr>
        <w:adjustRightInd w:val="0"/>
        <w:spacing w:line="360" w:lineRule="auto"/>
        <w:jc w:val="center"/>
      </w:pPr>
      <w:r>
        <w:drawing>
          <wp:inline distT="0" distB="0" distL="114300" distR="114300">
            <wp:extent cx="4229100" cy="2154555"/>
            <wp:effectExtent l="0" t="0" r="0" b="444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55"/>
                    <a:stretch>
                      <a:fillRect/>
                    </a:stretch>
                  </pic:blipFill>
                  <pic:spPr>
                    <a:xfrm>
                      <a:off x="0" y="0"/>
                      <a:ext cx="4229100" cy="2154555"/>
                    </a:xfrm>
                    <a:prstGeom prst="rect">
                      <a:avLst/>
                    </a:prstGeom>
                    <a:noFill/>
                    <a:ln>
                      <a:noFill/>
                    </a:ln>
                  </pic:spPr>
                </pic:pic>
              </a:graphicData>
            </a:graphic>
          </wp:inline>
        </w:drawing>
      </w:r>
    </w:p>
    <w:p w14:paraId="6347E8D5">
      <w:pPr>
        <w:adjustRightInd w:val="0"/>
        <w:spacing w:line="360" w:lineRule="auto"/>
        <w:rPr>
          <w:sz w:val="24"/>
        </w:rPr>
      </w:pPr>
      <w:r>
        <w:rPr>
          <w:sz w:val="24"/>
        </w:rPr>
        <w:t>3讨论</w:t>
      </w:r>
    </w:p>
    <w:p w14:paraId="58BC20D9">
      <w:pPr>
        <w:adjustRightInd w:val="0"/>
        <w:spacing w:line="360" w:lineRule="auto"/>
        <w:rPr>
          <w:sz w:val="24"/>
        </w:rPr>
      </w:pPr>
      <w:r>
        <w:rPr>
          <w:sz w:val="24"/>
        </w:rPr>
        <w:t>3.1饲料蛋白水平对草鱼生长性能的影响</w:t>
      </w:r>
    </w:p>
    <w:p w14:paraId="44450D22">
      <w:pPr>
        <w:adjustRightInd w:val="0"/>
        <w:spacing w:line="360" w:lineRule="auto"/>
        <w:ind w:firstLine="480" w:firstLineChars="200"/>
        <w:rPr>
          <w:sz w:val="24"/>
        </w:rPr>
      </w:pPr>
      <w:r>
        <w:rPr>
          <w:sz w:val="24"/>
        </w:rPr>
        <w:t>蛋白质是维持水产动物健康生长的重要营养物质</w:t>
      </w:r>
      <w:r>
        <w:rPr>
          <w:sz w:val="24"/>
          <w:vertAlign w:val="superscript"/>
        </w:rPr>
        <w:t>[7]</w:t>
      </w:r>
      <w:r>
        <w:rPr>
          <w:sz w:val="24"/>
        </w:rPr>
        <w:t>。当饲料蛋白质含量不足时，水产动物的生长速度受到抑制</w:t>
      </w:r>
      <w:r>
        <w:rPr>
          <w:sz w:val="24"/>
          <w:vertAlign w:val="superscript"/>
        </w:rPr>
        <w:t>[8]</w:t>
      </w:r>
      <w:r>
        <w:rPr>
          <w:sz w:val="24"/>
        </w:rPr>
        <w:t>；而当饲料蛋白质含量过高时，过量蛋白质会通过脱氨基作用代谢为氨氮排放到水环境中，加重机体代谢负担，造成蛋白质浪费。本研究结果显示，提高饲料蛋白水平能够提高草鱼的增重率，但持续提高蛋白水平后，增重率并未随之增加，这</w:t>
      </w:r>
      <w:r>
        <w:rPr>
          <w:rFonts w:hint="eastAsia"/>
          <w:sz w:val="24"/>
        </w:rPr>
        <w:t>与</w:t>
      </w:r>
      <w:r>
        <w:rPr>
          <w:sz w:val="24"/>
        </w:rPr>
        <w:t>胡子鲶</w:t>
      </w:r>
      <w:r>
        <w:rPr>
          <w:sz w:val="24"/>
          <w:vertAlign w:val="superscript"/>
        </w:rPr>
        <w:t>[9]</w:t>
      </w:r>
      <w:r>
        <w:rPr>
          <w:sz w:val="24"/>
        </w:rPr>
        <w:t>和裸腹鲟</w:t>
      </w:r>
      <w:r>
        <w:rPr>
          <w:sz w:val="24"/>
          <w:vertAlign w:val="superscript"/>
        </w:rPr>
        <w:t>[10]</w:t>
      </w:r>
      <w:r>
        <w:rPr>
          <w:sz w:val="24"/>
        </w:rPr>
        <w:t>的研究结果类似，说明超出适宜范围后，过高蛋白水平并未抑制生长，但其促生长效应已不显著。然而，在多鳞鱚</w:t>
      </w:r>
      <w:r>
        <w:rPr>
          <w:sz w:val="24"/>
          <w:vertAlign w:val="superscript"/>
        </w:rPr>
        <w:t>[11]</w:t>
      </w:r>
      <w:r>
        <w:rPr>
          <w:sz w:val="24"/>
        </w:rPr>
        <w:t>和匙吻鲟</w:t>
      </w:r>
      <w:r>
        <w:rPr>
          <w:sz w:val="24"/>
          <w:vertAlign w:val="superscript"/>
        </w:rPr>
        <w:t>[12]</w:t>
      </w:r>
      <w:r>
        <w:rPr>
          <w:sz w:val="24"/>
        </w:rPr>
        <w:t>的研究中，发现饲料中蛋白水平过高会显著抑制生长，降低蛋白质利用率。本试验以初重为1902g左右的草鱼为研究对象，发现饲料中适宜蛋白水平为29.09%。研究表明，水产动物对饲料蛋白质的需求随着规格的增大而逐渐降低。例如，不同规格鳜（初始体重分别为11.58、94.77和245.26g）对饲料蛋白质的需求分别为49.17%、45.19%和44.60%</w:t>
      </w:r>
      <w:r>
        <w:rPr>
          <w:sz w:val="24"/>
          <w:vertAlign w:val="superscript"/>
        </w:rPr>
        <w:t>[13]</w:t>
      </w:r>
      <w:r>
        <w:rPr>
          <w:sz w:val="24"/>
        </w:rPr>
        <w:t>；0.026、1.040和5.060g克氏原螯虾的适宜饲料蛋白水平分别为40.33%、35.88%和30.56%</w:t>
      </w:r>
      <w:r>
        <w:rPr>
          <w:sz w:val="24"/>
          <w:vertAlign w:val="superscript"/>
        </w:rPr>
        <w:t>[14]</w:t>
      </w:r>
      <w:r>
        <w:rPr>
          <w:sz w:val="24"/>
        </w:rPr>
        <w:t>。这可能是由于幼体阶段生长速度快，需要吸收更多的蛋白质来合成体蛋白，而随着生长阶段向后推移，生长速度逐渐减缓，蛋白质需求也相应降低。本研究中，初始体重为1902g左右草鱼的适宜饲料蛋白水平（29.09%）高于李彬</w:t>
      </w:r>
      <w:r>
        <w:rPr>
          <w:sz w:val="24"/>
          <w:vertAlign w:val="superscript"/>
        </w:rPr>
        <w:t>[2]</w:t>
      </w:r>
      <w:r>
        <w:rPr>
          <w:sz w:val="24"/>
        </w:rPr>
        <w:t>报道的</w:t>
      </w:r>
      <w:r>
        <w:rPr>
          <w:rFonts w:hint="eastAsia"/>
          <w:sz w:val="24"/>
        </w:rPr>
        <w:t>26.5%～27.2%</w:t>
      </w:r>
      <w:r>
        <w:rPr>
          <w:sz w:val="24"/>
        </w:rPr>
        <w:t>（初始体重为209</w:t>
      </w:r>
      <w:r>
        <w:rPr>
          <w:rFonts w:hint="eastAsia"/>
          <w:sz w:val="24"/>
        </w:rPr>
        <w:t>～</w:t>
      </w:r>
      <w:r>
        <w:rPr>
          <w:sz w:val="24"/>
        </w:rPr>
        <w:t>466g），这可能与试验条件不同有关。本试验中，随着饲料蛋白水平升高，饲料系数逐渐降低，相似的结果还出现在大菱鲆</w:t>
      </w:r>
      <w:r>
        <w:rPr>
          <w:sz w:val="24"/>
          <w:vertAlign w:val="superscript"/>
        </w:rPr>
        <w:t>[15]</w:t>
      </w:r>
      <w:r>
        <w:rPr>
          <w:sz w:val="24"/>
        </w:rPr>
        <w:t>、海牧喜斑</w:t>
      </w:r>
      <w:r>
        <w:rPr>
          <w:sz w:val="24"/>
          <w:vertAlign w:val="superscript"/>
        </w:rPr>
        <w:t>[16]</w:t>
      </w:r>
      <w:r>
        <w:rPr>
          <w:sz w:val="24"/>
        </w:rPr>
        <w:t>、线鳢</w:t>
      </w:r>
      <w:r>
        <w:rPr>
          <w:sz w:val="24"/>
          <w:vertAlign w:val="superscript"/>
        </w:rPr>
        <w:t>[17]</w:t>
      </w:r>
      <w:r>
        <w:rPr>
          <w:sz w:val="24"/>
        </w:rPr>
        <w:t>等水产动物中。这可能是因为鱼类对蛋白质的利用效率高于其他营养物质</w:t>
      </w:r>
      <w:r>
        <w:rPr>
          <w:sz w:val="24"/>
          <w:vertAlign w:val="superscript"/>
        </w:rPr>
        <w:t>[18]</w:t>
      </w:r>
      <w:r>
        <w:rPr>
          <w:sz w:val="24"/>
        </w:rPr>
        <w:t>，提高蛋白水平有助于提高蛋白质沉积率，从而改善饲料的整体转化效率。</w:t>
      </w:r>
    </w:p>
    <w:p w14:paraId="2815A533">
      <w:pPr>
        <w:adjustRightInd w:val="0"/>
        <w:spacing w:line="360" w:lineRule="auto"/>
        <w:rPr>
          <w:sz w:val="24"/>
        </w:rPr>
      </w:pPr>
      <w:r>
        <w:rPr>
          <w:sz w:val="24"/>
        </w:rPr>
        <w:t>3.2饲料蛋白水平对草鱼体成分和形态学指标的影响</w:t>
      </w:r>
    </w:p>
    <w:p w14:paraId="616F52D1">
      <w:pPr>
        <w:adjustRightInd w:val="0"/>
        <w:spacing w:line="360" w:lineRule="auto"/>
        <w:ind w:firstLine="480" w:firstLineChars="200"/>
        <w:rPr>
          <w:sz w:val="24"/>
        </w:rPr>
      </w:pPr>
      <w:r>
        <w:rPr>
          <w:sz w:val="24"/>
        </w:rPr>
        <w:t>本试验中，提高饲料蛋白水平显著提高了草鱼的肥满度，但对肝体比和脏体比无显著影响。幼鱼阶段以骨骼生长为主，体长增长速度较快，体重增加相对较慢，可能导致肥满度增长缓慢甚至下降。例如，在斑点叉尾鮰中，40%蛋白组肥满度显著低于36%蛋白组</w:t>
      </w:r>
      <w:r>
        <w:rPr>
          <w:sz w:val="24"/>
          <w:vertAlign w:val="superscript"/>
        </w:rPr>
        <w:t>[19]</w:t>
      </w:r>
      <w:r>
        <w:rPr>
          <w:sz w:val="24"/>
        </w:rPr>
        <w:t>。而在成鱼阶段，体长增长速度减缓，高蛋白饲料能够促进体重增长，使肥满度提高，相似的结果还出现在芙蓉鲤鲫</w:t>
      </w:r>
      <w:r>
        <w:rPr>
          <w:sz w:val="24"/>
          <w:vertAlign w:val="superscript"/>
        </w:rPr>
        <w:t>[20]</w:t>
      </w:r>
      <w:r>
        <w:rPr>
          <w:sz w:val="24"/>
        </w:rPr>
        <w:t>、马口鱼</w:t>
      </w:r>
      <w:r>
        <w:rPr>
          <w:sz w:val="24"/>
          <w:vertAlign w:val="superscript"/>
        </w:rPr>
        <w:t>[21]</w:t>
      </w:r>
      <w:r>
        <w:rPr>
          <w:sz w:val="24"/>
        </w:rPr>
        <w:t>等品种中。</w:t>
      </w:r>
    </w:p>
    <w:p w14:paraId="06C90C19">
      <w:pPr>
        <w:adjustRightInd w:val="0"/>
        <w:spacing w:line="360" w:lineRule="auto"/>
        <w:ind w:firstLine="480" w:firstLineChars="200"/>
        <w:rPr>
          <w:sz w:val="24"/>
        </w:rPr>
      </w:pPr>
      <w:r>
        <w:rPr>
          <w:sz w:val="24"/>
        </w:rPr>
        <w:t>本研究中，草鱼全鱼的水分、粗蛋白和粗脂肪含量总体随着饲料蛋白水平升高而提高。饲料蛋白水平对鱼体成分的影响在不同研究中存在差异，例如，程小飞等</w:t>
      </w:r>
      <w:r>
        <w:rPr>
          <w:sz w:val="24"/>
          <w:vertAlign w:val="superscript"/>
        </w:rPr>
        <w:t>[22]</w:t>
      </w:r>
      <w:r>
        <w:rPr>
          <w:sz w:val="24"/>
        </w:rPr>
        <w:t>和叶文娟等</w:t>
      </w:r>
      <w:r>
        <w:rPr>
          <w:sz w:val="24"/>
          <w:vertAlign w:val="superscript"/>
        </w:rPr>
        <w:t>[23]</w:t>
      </w:r>
      <w:r>
        <w:rPr>
          <w:sz w:val="24"/>
        </w:rPr>
        <w:t>报道，全鱼水分、粗脂肪、粗蛋白及粗灰分含量受饲料蛋白水平的影响不显著。林淑琴</w:t>
      </w:r>
      <w:r>
        <w:rPr>
          <w:sz w:val="24"/>
          <w:vertAlign w:val="superscript"/>
        </w:rPr>
        <w:t>[24]</w:t>
      </w:r>
      <w:r>
        <w:rPr>
          <w:sz w:val="24"/>
        </w:rPr>
        <w:t>在不同规格大黄鱼上的研究显示，饲料蛋白水平显著提高了小规格大黄鱼的鱼体粗蛋白含量，而对中规格和大规格大黄鱼却无</w:t>
      </w:r>
      <w:r>
        <w:rPr>
          <w:rFonts w:hint="eastAsia"/>
          <w:sz w:val="24"/>
        </w:rPr>
        <w:t>显著</w:t>
      </w:r>
      <w:r>
        <w:rPr>
          <w:sz w:val="24"/>
        </w:rPr>
        <w:t>影响。因此，推测不同蛋白水平对鱼体粗蛋白含量的影响与试验鱼的品种和规格相关。</w:t>
      </w:r>
    </w:p>
    <w:p w14:paraId="69E1CB55">
      <w:pPr>
        <w:adjustRightInd w:val="0"/>
        <w:spacing w:line="360" w:lineRule="auto"/>
        <w:rPr>
          <w:sz w:val="24"/>
        </w:rPr>
      </w:pPr>
      <w:r>
        <w:rPr>
          <w:sz w:val="24"/>
        </w:rPr>
        <w:t>3.3饲料蛋白水平对草鱼血清生化指标的影响</w:t>
      </w:r>
    </w:p>
    <w:p w14:paraId="16427B2F">
      <w:pPr>
        <w:adjustRightInd w:val="0"/>
        <w:spacing w:line="360" w:lineRule="auto"/>
        <w:ind w:firstLine="480" w:firstLineChars="200"/>
        <w:rPr>
          <w:sz w:val="24"/>
        </w:rPr>
      </w:pPr>
      <w:r>
        <w:rPr>
          <w:sz w:val="24"/>
        </w:rPr>
        <w:t>血液在氧气运输、免疫防御、修复组织、维持内环境稳态等方面发挥着重要的生理功能，通过分析血清中关键成分数据，可以评估鱼类健康状态。本试验中，CP6组TP、ALP、AST、ALT、GLU和TG等指标均高于CP1组。高蛋白饲料为草鱼提供了丰富的氨基酸来源，可以促进蛋白质合成代谢，并通过激活</w:t>
      </w:r>
      <w:r>
        <w:rPr>
          <w:rFonts w:hint="eastAsia"/>
          <w:sz w:val="24"/>
        </w:rPr>
        <w:t>西罗莫司</w:t>
      </w:r>
      <w:r>
        <w:rPr>
          <w:sz w:val="24"/>
        </w:rPr>
        <w:t>靶蛋白/核糖体蛋白S6激酶1（TOR/S6K1）信号通路，上调蛋白合成基因的表达，提高血液TP含量</w:t>
      </w:r>
      <w:r>
        <w:rPr>
          <w:sz w:val="24"/>
          <w:vertAlign w:val="superscript"/>
        </w:rPr>
        <w:t>[25]</w:t>
      </w:r>
      <w:r>
        <w:rPr>
          <w:sz w:val="24"/>
        </w:rPr>
        <w:t>。ALP可以水解磷酸酯类底物，释放磷酸根，为蛋白质合成提供原料。本试验结果显示，高蛋白饲料可以提高血清ALP活性。转氨酶是蛋白质代谢过程中的关键酶，可以催化氨基转移、维持蛋白质代谢稳态。转氨酶在血清中的活性相对较低，而在肝组织中较高</w:t>
      </w:r>
      <w:r>
        <w:rPr>
          <w:sz w:val="24"/>
          <w:vertAlign w:val="superscript"/>
        </w:rPr>
        <w:t>[26]</w:t>
      </w:r>
      <w:r>
        <w:rPr>
          <w:sz w:val="24"/>
        </w:rPr>
        <w:t>，当肝脏受到损伤时，转氨酶会从肝脏进入到血液中，导致血清转氨酶活性提高；相反，健康状况下血清转氨酶活性会处于较低水平。例如，朱陈圆等</w:t>
      </w:r>
      <w:r>
        <w:rPr>
          <w:sz w:val="24"/>
          <w:vertAlign w:val="superscript"/>
        </w:rPr>
        <w:t>[27]</w:t>
      </w:r>
      <w:r>
        <w:rPr>
          <w:sz w:val="24"/>
        </w:rPr>
        <w:t>报道，饲料中添加适量的亮氨酸，鳜血清AST和ALT活性显著降低。李茂哲</w:t>
      </w:r>
      <w:r>
        <w:rPr>
          <w:sz w:val="24"/>
          <w:vertAlign w:val="superscript"/>
        </w:rPr>
        <w:t>[28]</w:t>
      </w:r>
      <w:r>
        <w:rPr>
          <w:sz w:val="24"/>
        </w:rPr>
        <w:t>研究发现，饲料蛋白水平升高后，翘嘴鳜血清转氨酶活性先降低后升高，这与本研究高蛋白水平下草鱼血清转氨酶活性提高的结果相似。高蛋白饲料可能会加大肝脏代谢的负担，从而引起一定程度的肝脏损伤，导致血清中转氨酶活性提高。高蛋白饲料中过量的氨基酸可通过肝胰脏糖异生途径转化为葡萄糖。此外，氨基酸分解后的碳骨架进入线粒体生成乙酰辅酶A</w:t>
      </w:r>
      <w:r>
        <w:rPr>
          <w:rFonts w:hint="eastAsia"/>
          <w:sz w:val="24"/>
        </w:rPr>
        <w:t>，</w:t>
      </w:r>
      <w:r>
        <w:rPr>
          <w:sz w:val="24"/>
        </w:rPr>
        <w:t>可以在脂肪酸合成酶和乙酰辅酶A羧化酶的催化下合成脂肪酸。这可能是本试验中摄食高蛋白饲料后草鱼血清中GLU和TG含量提高的原因之一。</w:t>
      </w:r>
    </w:p>
    <w:p w14:paraId="0F7C84DB">
      <w:pPr>
        <w:adjustRightInd w:val="0"/>
        <w:spacing w:line="360" w:lineRule="auto"/>
        <w:rPr>
          <w:sz w:val="24"/>
        </w:rPr>
      </w:pPr>
      <w:r>
        <w:rPr>
          <w:sz w:val="24"/>
        </w:rPr>
        <w:t>3.4饲料蛋白水平对草鱼消化酶活性的影响</w:t>
      </w:r>
    </w:p>
    <w:p w14:paraId="370183AD">
      <w:pPr>
        <w:adjustRightInd w:val="0"/>
        <w:spacing w:line="360" w:lineRule="auto"/>
        <w:ind w:firstLine="480" w:firstLineChars="200"/>
        <w:rPr>
          <w:sz w:val="24"/>
        </w:rPr>
      </w:pPr>
      <w:r>
        <w:rPr>
          <w:sz w:val="24"/>
        </w:rPr>
        <w:t>鱼类对营养物质的吸收利用率依赖于消化酶的活性。本试验中，随着饲料蛋白水平升高，肠道胰蛋白酶活性先上升后趋于稳定，与鳜</w:t>
      </w:r>
      <w:r>
        <w:rPr>
          <w:sz w:val="24"/>
          <w:vertAlign w:val="superscript"/>
        </w:rPr>
        <w:t>[29]</w:t>
      </w:r>
      <w:r>
        <w:rPr>
          <w:sz w:val="24"/>
        </w:rPr>
        <w:t>、黄鳝</w:t>
      </w:r>
      <w:r>
        <w:rPr>
          <w:sz w:val="24"/>
          <w:vertAlign w:val="superscript"/>
        </w:rPr>
        <w:t>[30]</w:t>
      </w:r>
      <w:r>
        <w:rPr>
          <w:sz w:val="24"/>
        </w:rPr>
        <w:t>、乌鳢</w:t>
      </w:r>
      <w:r>
        <w:rPr>
          <w:sz w:val="24"/>
          <w:vertAlign w:val="superscript"/>
        </w:rPr>
        <w:t>[31]</w:t>
      </w:r>
      <w:r>
        <w:rPr>
          <w:sz w:val="24"/>
        </w:rPr>
        <w:t>的研究结果一致。而肠道淀粉酶活性则先降低后趋于平稳，与太湖鲂鲌</w:t>
      </w:r>
      <w:r>
        <w:rPr>
          <w:sz w:val="24"/>
          <w:vertAlign w:val="superscript"/>
        </w:rPr>
        <w:t>[32]</w:t>
      </w:r>
      <w:r>
        <w:rPr>
          <w:sz w:val="24"/>
        </w:rPr>
        <w:t>和刺鲃</w:t>
      </w:r>
      <w:r>
        <w:rPr>
          <w:sz w:val="24"/>
          <w:vertAlign w:val="superscript"/>
        </w:rPr>
        <w:t>[33]</w:t>
      </w:r>
      <w:r>
        <w:rPr>
          <w:sz w:val="24"/>
        </w:rPr>
        <w:t>的研究结果一致。这可能是因为本试验设计的是等能等脂饲料，当蛋白质比例提高时，碳水化合物比例相应降低，可能导致淀粉酶分泌适应性下调。本试验中，高蛋白饲料会抑制肝脏脂肪酶活性，这可能是因为过量的氨基酸需要通过肝脏脱氨基作用代谢，而此过程会消耗大量辅酶和三磷酸腺苷（ATP），与脂肪酸β-氧化竞争资源，从而降低脂肪酶活性；此外，未被完全利用的氨基酸可能转向脂肪合成途径，从而反馈性降低脂肪酶的活性。</w:t>
      </w:r>
    </w:p>
    <w:p w14:paraId="50254D94">
      <w:pPr>
        <w:adjustRightInd w:val="0"/>
        <w:spacing w:line="360" w:lineRule="auto"/>
        <w:rPr>
          <w:sz w:val="24"/>
        </w:rPr>
      </w:pPr>
      <w:r>
        <w:rPr>
          <w:sz w:val="24"/>
        </w:rPr>
        <w:t>3.5饲料蛋白水平对草鱼肝脏抗氧化功能的影响</w:t>
      </w:r>
    </w:p>
    <w:p w14:paraId="421DF66A">
      <w:pPr>
        <w:adjustRightInd w:val="0"/>
        <w:spacing w:line="360" w:lineRule="auto"/>
        <w:ind w:firstLine="480" w:firstLineChars="200"/>
        <w:rPr>
          <w:sz w:val="24"/>
        </w:rPr>
      </w:pPr>
      <w:r>
        <w:rPr>
          <w:sz w:val="24"/>
        </w:rPr>
        <w:t>本试验表明，在适宜范围内提高饲料蛋白水平，能够提高肝脏SOD和GSH-Px活性，降低MDA含量，增强抗氧化能力；而继续提高饲料蛋白水平，SOD和GSH-Px活性会略微下降趋于稳定，MDA含量则略微上升。研究发现，当饲料蛋白处于适宜范围时（如鲤幼鱼的饲料蛋白水平为31%），SOD、CAT、GSH-Px等抗氧化酶活性会显著升高</w:t>
      </w:r>
      <w:r>
        <w:rPr>
          <w:sz w:val="24"/>
          <w:vertAlign w:val="superscript"/>
        </w:rPr>
        <w:t>[34]</w:t>
      </w:r>
      <w:r>
        <w:rPr>
          <w:sz w:val="24"/>
        </w:rPr>
        <w:t>。在适宜蛋白水平基础上继续提高饲料蛋白质含量，可以增强免疫力和抗氧化能力</w:t>
      </w:r>
      <w:r>
        <w:rPr>
          <w:sz w:val="24"/>
          <w:vertAlign w:val="superscript"/>
        </w:rPr>
        <w:t>[35]</w:t>
      </w:r>
      <w:r>
        <w:rPr>
          <w:sz w:val="24"/>
        </w:rPr>
        <w:t>。适宜的饲料蛋白水平可为机体提供充足的营养和氨基酸需求，促进机体处于健康状态，激活抗氧化酶基因的表达。而当饲料蛋白水平超过机体最佳需求时，其促生长与抗氧化效应可能下降。例如，以35.98%蛋白水平饲养草鱼的生长性能更好</w:t>
      </w:r>
      <w:r>
        <w:rPr>
          <w:sz w:val="24"/>
          <w:vertAlign w:val="superscript"/>
        </w:rPr>
        <w:t>[5]</w:t>
      </w:r>
      <w:r>
        <w:rPr>
          <w:sz w:val="24"/>
        </w:rPr>
        <w:t>。这可能是因为过量的蛋白质可能代谢产生活性氧自由基，对机体抗氧化系统造成压力。因此，确定并维持最适蛋白水平，对于平衡草鱼生长与健康至关重要。</w:t>
      </w:r>
    </w:p>
    <w:p w14:paraId="12831D92">
      <w:pPr>
        <w:adjustRightInd w:val="0"/>
        <w:spacing w:line="360" w:lineRule="auto"/>
        <w:rPr>
          <w:sz w:val="24"/>
        </w:rPr>
      </w:pPr>
      <w:r>
        <w:rPr>
          <w:sz w:val="24"/>
        </w:rPr>
        <w:t>4结论</w:t>
      </w:r>
    </w:p>
    <w:p w14:paraId="4B123471">
      <w:pPr>
        <w:adjustRightInd w:val="0"/>
        <w:spacing w:line="360" w:lineRule="auto"/>
        <w:ind w:firstLine="480" w:firstLineChars="200"/>
        <w:rPr>
          <w:sz w:val="24"/>
        </w:rPr>
      </w:pPr>
      <w:r>
        <w:rPr>
          <w:sz w:val="24"/>
        </w:rPr>
        <w:t>本试验结果表明，适宜的饲料蛋白水平可以</w:t>
      </w:r>
      <w:r>
        <w:rPr>
          <w:rFonts w:hint="eastAsia"/>
          <w:sz w:val="24"/>
        </w:rPr>
        <w:t>提高</w:t>
      </w:r>
      <w:r>
        <w:rPr>
          <w:sz w:val="24"/>
        </w:rPr>
        <w:t>大规格草鱼的生长性能，提高消化酶活性，增强抗应激能力，降低饲料系数。以增重率为评价指标，大规格草鱼（1902g左右）饲料适宜的蛋白水平为29.09%。</w:t>
      </w:r>
    </w:p>
    <w:p w14:paraId="1472BB0E">
      <w:pPr>
        <w:rPr>
          <w:rFonts w:hint="eastAsia" w:ascii="宋体" w:hAnsi="宋体" w:cs="宋体"/>
          <w:sz w:val="24"/>
        </w:rPr>
      </w:pPr>
      <w:r>
        <w:rPr>
          <w:rFonts w:hint="eastAsia" w:ascii="宋体" w:hAnsi="宋体" w:cs="宋体"/>
          <w:sz w:val="24"/>
        </w:rPr>
        <w:t>参考文献：略</w:t>
      </w:r>
    </w:p>
    <w:p w14:paraId="107EC010">
      <w:pPr>
        <w:spacing w:line="360" w:lineRule="auto"/>
        <w:jc w:val="right"/>
        <w:rPr>
          <w:szCs w:val="21"/>
        </w:rPr>
      </w:pPr>
      <w:r>
        <w:rPr>
          <w:rFonts w:ascii="宋体" w:hAnsi="宋体" w:cs="宋体"/>
          <w:szCs w:val="21"/>
        </w:rPr>
        <w:t>原文刊登在</w:t>
      </w:r>
      <w:r>
        <w:rPr>
          <w:rFonts w:cs="宋体"/>
        </w:rPr>
        <w:t>《</w:t>
      </w:r>
      <w:r>
        <w:rPr>
          <w:rFonts w:hint="eastAsia" w:cs="宋体"/>
        </w:rPr>
        <w:t>饲料研究</w:t>
      </w:r>
      <w:r>
        <w:rPr>
          <w:rFonts w:cs="宋体"/>
        </w:rPr>
        <w:t>》</w:t>
      </w:r>
      <w:r>
        <w:rPr>
          <w:rFonts w:hint="eastAsia" w:cs="宋体"/>
        </w:rPr>
        <w:t>2026年第4期</w:t>
      </w:r>
    </w:p>
    <w:p w14:paraId="699ACD39">
      <w:pPr>
        <w:spacing w:line="360" w:lineRule="auto"/>
        <w:ind w:right="840"/>
        <w:rPr>
          <w:rStyle w:val="96"/>
          <w:rFonts w:eastAsiaTheme="minorEastAsia"/>
          <w:szCs w:val="21"/>
        </w:rPr>
      </w:pPr>
    </w:p>
    <w:sectPr>
      <w:footerReference r:id="rId3" w:type="default"/>
      <w:pgSz w:w="11906" w:h="16838"/>
      <w:pgMar w:top="1440" w:right="1247" w:bottom="1440" w:left="1247"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TimesNewRomanPSMT">
    <w:altName w:val="Times New Roman"/>
    <w:panose1 w:val="00000000000000000000"/>
    <w:charset w:val="00"/>
    <w:family w:val="roman"/>
    <w:pitch w:val="default"/>
    <w:sig w:usb0="00000000" w:usb1="00000000" w:usb2="00000010" w:usb3="00000000" w:csb0="00040000" w:csb1="00000000"/>
  </w:font>
  <w:font w:name="TimesNewRomanPS-Italic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226461"/>
    </w:sdtPr>
    <w:sdtContent>
      <w:p w14:paraId="676A6AEE">
        <w:pPr>
          <w:pStyle w:val="12"/>
          <w:jc w:val="center"/>
        </w:pPr>
        <w:r>
          <w:fldChar w:fldCharType="begin"/>
        </w:r>
        <w:r>
          <w:instrText xml:space="preserve">PAGE   \* MERGEFORMAT</w:instrText>
        </w:r>
        <w:r>
          <w:fldChar w:fldCharType="separate"/>
        </w:r>
        <w:r>
          <w:rPr>
            <w:lang w:val="zh-CN"/>
          </w:rPr>
          <w:t>2</w:t>
        </w:r>
        <w:r>
          <w:fldChar w:fldCharType="end"/>
        </w:r>
      </w:p>
    </w:sdtContent>
  </w:sdt>
  <w:p w14:paraId="789510DD">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7"/>
  <w:mirrorMargins w:val="1"/>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lYTA0YmQzOTg4OTBhYTU4MzMyZGMwOWM5ZGU2MDcifQ=="/>
  </w:docVars>
  <w:rsids>
    <w:rsidRoot w:val="00172A27"/>
    <w:rsid w:val="00002115"/>
    <w:rsid w:val="00002BFE"/>
    <w:rsid w:val="00002E4A"/>
    <w:rsid w:val="0000389A"/>
    <w:rsid w:val="00006E4D"/>
    <w:rsid w:val="000078F8"/>
    <w:rsid w:val="00011809"/>
    <w:rsid w:val="000140DD"/>
    <w:rsid w:val="000162CE"/>
    <w:rsid w:val="00016E06"/>
    <w:rsid w:val="0001799F"/>
    <w:rsid w:val="00022032"/>
    <w:rsid w:val="0002235E"/>
    <w:rsid w:val="00023879"/>
    <w:rsid w:val="00024430"/>
    <w:rsid w:val="00024780"/>
    <w:rsid w:val="00024F8D"/>
    <w:rsid w:val="00026CC6"/>
    <w:rsid w:val="00032EB0"/>
    <w:rsid w:val="00035281"/>
    <w:rsid w:val="00036EAA"/>
    <w:rsid w:val="00037F8A"/>
    <w:rsid w:val="00041E32"/>
    <w:rsid w:val="0004228A"/>
    <w:rsid w:val="00042A93"/>
    <w:rsid w:val="00043457"/>
    <w:rsid w:val="00045296"/>
    <w:rsid w:val="00046763"/>
    <w:rsid w:val="000507D7"/>
    <w:rsid w:val="00051224"/>
    <w:rsid w:val="000546FE"/>
    <w:rsid w:val="00054B42"/>
    <w:rsid w:val="00056AC4"/>
    <w:rsid w:val="00057A43"/>
    <w:rsid w:val="000601F4"/>
    <w:rsid w:val="00060368"/>
    <w:rsid w:val="00060549"/>
    <w:rsid w:val="000639F4"/>
    <w:rsid w:val="00067060"/>
    <w:rsid w:val="000674B3"/>
    <w:rsid w:val="00067CC5"/>
    <w:rsid w:val="00072F23"/>
    <w:rsid w:val="00074B36"/>
    <w:rsid w:val="00075A80"/>
    <w:rsid w:val="00075D73"/>
    <w:rsid w:val="00075DD3"/>
    <w:rsid w:val="000778A5"/>
    <w:rsid w:val="00080EC7"/>
    <w:rsid w:val="0008258D"/>
    <w:rsid w:val="00082714"/>
    <w:rsid w:val="0008527C"/>
    <w:rsid w:val="00086944"/>
    <w:rsid w:val="00086B20"/>
    <w:rsid w:val="00086BED"/>
    <w:rsid w:val="00087A85"/>
    <w:rsid w:val="00087D57"/>
    <w:rsid w:val="00091B87"/>
    <w:rsid w:val="00092844"/>
    <w:rsid w:val="000932DF"/>
    <w:rsid w:val="00095841"/>
    <w:rsid w:val="00096E7B"/>
    <w:rsid w:val="00097448"/>
    <w:rsid w:val="000A1544"/>
    <w:rsid w:val="000A2CB9"/>
    <w:rsid w:val="000A383F"/>
    <w:rsid w:val="000A3E04"/>
    <w:rsid w:val="000A45CC"/>
    <w:rsid w:val="000A5B38"/>
    <w:rsid w:val="000A615C"/>
    <w:rsid w:val="000A75D7"/>
    <w:rsid w:val="000B362C"/>
    <w:rsid w:val="000B3A02"/>
    <w:rsid w:val="000B3B35"/>
    <w:rsid w:val="000B3DB4"/>
    <w:rsid w:val="000B4EA4"/>
    <w:rsid w:val="000B4F43"/>
    <w:rsid w:val="000B5E61"/>
    <w:rsid w:val="000B6C41"/>
    <w:rsid w:val="000B7C99"/>
    <w:rsid w:val="000C000C"/>
    <w:rsid w:val="000C1E70"/>
    <w:rsid w:val="000C1F1B"/>
    <w:rsid w:val="000C2535"/>
    <w:rsid w:val="000C38D1"/>
    <w:rsid w:val="000C4200"/>
    <w:rsid w:val="000C4DD7"/>
    <w:rsid w:val="000C5A7E"/>
    <w:rsid w:val="000C5F62"/>
    <w:rsid w:val="000C6194"/>
    <w:rsid w:val="000C6B67"/>
    <w:rsid w:val="000C7025"/>
    <w:rsid w:val="000C7E7A"/>
    <w:rsid w:val="000D0748"/>
    <w:rsid w:val="000D0869"/>
    <w:rsid w:val="000D0B84"/>
    <w:rsid w:val="000D10F7"/>
    <w:rsid w:val="000D17DD"/>
    <w:rsid w:val="000D1B49"/>
    <w:rsid w:val="000D64CA"/>
    <w:rsid w:val="000D688D"/>
    <w:rsid w:val="000D6ACA"/>
    <w:rsid w:val="000D7731"/>
    <w:rsid w:val="000D7991"/>
    <w:rsid w:val="000E1DEF"/>
    <w:rsid w:val="000E2BBA"/>
    <w:rsid w:val="000E4383"/>
    <w:rsid w:val="000E6948"/>
    <w:rsid w:val="000E6DAE"/>
    <w:rsid w:val="000F0055"/>
    <w:rsid w:val="000F0FCE"/>
    <w:rsid w:val="000F2DCC"/>
    <w:rsid w:val="000F30A4"/>
    <w:rsid w:val="000F3844"/>
    <w:rsid w:val="000F425B"/>
    <w:rsid w:val="000F6254"/>
    <w:rsid w:val="000F6417"/>
    <w:rsid w:val="000F642F"/>
    <w:rsid w:val="000F6E36"/>
    <w:rsid w:val="001000FA"/>
    <w:rsid w:val="001028F0"/>
    <w:rsid w:val="00102DB7"/>
    <w:rsid w:val="0010350D"/>
    <w:rsid w:val="00104062"/>
    <w:rsid w:val="00104F42"/>
    <w:rsid w:val="00105674"/>
    <w:rsid w:val="00105C63"/>
    <w:rsid w:val="00107626"/>
    <w:rsid w:val="00107696"/>
    <w:rsid w:val="00107B43"/>
    <w:rsid w:val="00107F13"/>
    <w:rsid w:val="00107F29"/>
    <w:rsid w:val="001109D0"/>
    <w:rsid w:val="00112132"/>
    <w:rsid w:val="00113EBF"/>
    <w:rsid w:val="001142B8"/>
    <w:rsid w:val="00114ABC"/>
    <w:rsid w:val="00114AF2"/>
    <w:rsid w:val="00114AF4"/>
    <w:rsid w:val="00115440"/>
    <w:rsid w:val="001164E0"/>
    <w:rsid w:val="001172CF"/>
    <w:rsid w:val="001178F0"/>
    <w:rsid w:val="00121953"/>
    <w:rsid w:val="001226B3"/>
    <w:rsid w:val="0012398F"/>
    <w:rsid w:val="0012437E"/>
    <w:rsid w:val="001255FE"/>
    <w:rsid w:val="00125783"/>
    <w:rsid w:val="001264F7"/>
    <w:rsid w:val="00130158"/>
    <w:rsid w:val="00130955"/>
    <w:rsid w:val="001323EA"/>
    <w:rsid w:val="0013329F"/>
    <w:rsid w:val="0013359F"/>
    <w:rsid w:val="00133D64"/>
    <w:rsid w:val="00136D79"/>
    <w:rsid w:val="001410FA"/>
    <w:rsid w:val="00141929"/>
    <w:rsid w:val="0014286D"/>
    <w:rsid w:val="00142DB1"/>
    <w:rsid w:val="00143A57"/>
    <w:rsid w:val="00144A33"/>
    <w:rsid w:val="00144A8E"/>
    <w:rsid w:val="00144F0E"/>
    <w:rsid w:val="00147484"/>
    <w:rsid w:val="00147815"/>
    <w:rsid w:val="00147A4B"/>
    <w:rsid w:val="00147D9B"/>
    <w:rsid w:val="00147FE6"/>
    <w:rsid w:val="0015008E"/>
    <w:rsid w:val="00151281"/>
    <w:rsid w:val="00151291"/>
    <w:rsid w:val="00151762"/>
    <w:rsid w:val="00151DBA"/>
    <w:rsid w:val="00151DDB"/>
    <w:rsid w:val="001525A7"/>
    <w:rsid w:val="0015316B"/>
    <w:rsid w:val="00155FA9"/>
    <w:rsid w:val="00156460"/>
    <w:rsid w:val="001571FA"/>
    <w:rsid w:val="00160661"/>
    <w:rsid w:val="001608F4"/>
    <w:rsid w:val="00161685"/>
    <w:rsid w:val="0016314A"/>
    <w:rsid w:val="00164ECD"/>
    <w:rsid w:val="00165B8B"/>
    <w:rsid w:val="00171CD2"/>
    <w:rsid w:val="00171ED9"/>
    <w:rsid w:val="00172A27"/>
    <w:rsid w:val="00172E0D"/>
    <w:rsid w:val="001751D2"/>
    <w:rsid w:val="00176536"/>
    <w:rsid w:val="001765D4"/>
    <w:rsid w:val="00177FBF"/>
    <w:rsid w:val="00181DD6"/>
    <w:rsid w:val="00183729"/>
    <w:rsid w:val="00185D46"/>
    <w:rsid w:val="00185F05"/>
    <w:rsid w:val="00186AEA"/>
    <w:rsid w:val="00187D22"/>
    <w:rsid w:val="001901B0"/>
    <w:rsid w:val="00190838"/>
    <w:rsid w:val="001918A0"/>
    <w:rsid w:val="0019190F"/>
    <w:rsid w:val="001920E0"/>
    <w:rsid w:val="0019272A"/>
    <w:rsid w:val="00193590"/>
    <w:rsid w:val="00193B81"/>
    <w:rsid w:val="001947D3"/>
    <w:rsid w:val="00195B86"/>
    <w:rsid w:val="00195CAE"/>
    <w:rsid w:val="001969D8"/>
    <w:rsid w:val="001974DA"/>
    <w:rsid w:val="001A14D9"/>
    <w:rsid w:val="001A1E4D"/>
    <w:rsid w:val="001A559B"/>
    <w:rsid w:val="001A5B4A"/>
    <w:rsid w:val="001A5FAD"/>
    <w:rsid w:val="001B036A"/>
    <w:rsid w:val="001B1379"/>
    <w:rsid w:val="001B1408"/>
    <w:rsid w:val="001B2750"/>
    <w:rsid w:val="001B34BE"/>
    <w:rsid w:val="001B70C5"/>
    <w:rsid w:val="001C07B8"/>
    <w:rsid w:val="001C136B"/>
    <w:rsid w:val="001C1FB2"/>
    <w:rsid w:val="001C3405"/>
    <w:rsid w:val="001C3A5B"/>
    <w:rsid w:val="001C3F5B"/>
    <w:rsid w:val="001C427A"/>
    <w:rsid w:val="001C4E29"/>
    <w:rsid w:val="001C5FD7"/>
    <w:rsid w:val="001C7EC0"/>
    <w:rsid w:val="001D0EA1"/>
    <w:rsid w:val="001D27FF"/>
    <w:rsid w:val="001D53B7"/>
    <w:rsid w:val="001D61B6"/>
    <w:rsid w:val="001E01CB"/>
    <w:rsid w:val="001E3265"/>
    <w:rsid w:val="001E60D4"/>
    <w:rsid w:val="001E6BB5"/>
    <w:rsid w:val="001E7BCF"/>
    <w:rsid w:val="001F1948"/>
    <w:rsid w:val="001F1E7F"/>
    <w:rsid w:val="001F60FD"/>
    <w:rsid w:val="001F610B"/>
    <w:rsid w:val="001F61F5"/>
    <w:rsid w:val="001F65FA"/>
    <w:rsid w:val="001F7857"/>
    <w:rsid w:val="001F7F30"/>
    <w:rsid w:val="00200A87"/>
    <w:rsid w:val="00202D44"/>
    <w:rsid w:val="00202E7A"/>
    <w:rsid w:val="00205034"/>
    <w:rsid w:val="00205060"/>
    <w:rsid w:val="00206202"/>
    <w:rsid w:val="002079E0"/>
    <w:rsid w:val="002101F2"/>
    <w:rsid w:val="00210424"/>
    <w:rsid w:val="00210903"/>
    <w:rsid w:val="00210C08"/>
    <w:rsid w:val="00211E4F"/>
    <w:rsid w:val="0021214D"/>
    <w:rsid w:val="002134B2"/>
    <w:rsid w:val="00213B07"/>
    <w:rsid w:val="002154D2"/>
    <w:rsid w:val="00215661"/>
    <w:rsid w:val="002156F9"/>
    <w:rsid w:val="00215CD7"/>
    <w:rsid w:val="002170F4"/>
    <w:rsid w:val="002177A1"/>
    <w:rsid w:val="00217AD4"/>
    <w:rsid w:val="002200C7"/>
    <w:rsid w:val="00221185"/>
    <w:rsid w:val="002219EF"/>
    <w:rsid w:val="0022243A"/>
    <w:rsid w:val="00222C72"/>
    <w:rsid w:val="00224612"/>
    <w:rsid w:val="00224A4B"/>
    <w:rsid w:val="002252BC"/>
    <w:rsid w:val="00226309"/>
    <w:rsid w:val="00226D0A"/>
    <w:rsid w:val="00226EFE"/>
    <w:rsid w:val="002302A1"/>
    <w:rsid w:val="00230958"/>
    <w:rsid w:val="00231324"/>
    <w:rsid w:val="00231625"/>
    <w:rsid w:val="0023213D"/>
    <w:rsid w:val="00232B41"/>
    <w:rsid w:val="00232DCA"/>
    <w:rsid w:val="00233A57"/>
    <w:rsid w:val="00235A3C"/>
    <w:rsid w:val="00236078"/>
    <w:rsid w:val="00236AE3"/>
    <w:rsid w:val="00236ED9"/>
    <w:rsid w:val="00237CC3"/>
    <w:rsid w:val="00240D6D"/>
    <w:rsid w:val="0024125E"/>
    <w:rsid w:val="00241D5E"/>
    <w:rsid w:val="00242377"/>
    <w:rsid w:val="00242686"/>
    <w:rsid w:val="002428B3"/>
    <w:rsid w:val="00244407"/>
    <w:rsid w:val="00244B43"/>
    <w:rsid w:val="0024556B"/>
    <w:rsid w:val="00246ED3"/>
    <w:rsid w:val="0024777C"/>
    <w:rsid w:val="0025113D"/>
    <w:rsid w:val="00251D13"/>
    <w:rsid w:val="00252BD2"/>
    <w:rsid w:val="00253683"/>
    <w:rsid w:val="00253761"/>
    <w:rsid w:val="00253F7D"/>
    <w:rsid w:val="002541A3"/>
    <w:rsid w:val="002546DC"/>
    <w:rsid w:val="0026078F"/>
    <w:rsid w:val="002613DB"/>
    <w:rsid w:val="00261A0C"/>
    <w:rsid w:val="00263ECA"/>
    <w:rsid w:val="00263F14"/>
    <w:rsid w:val="00263FFB"/>
    <w:rsid w:val="0027180E"/>
    <w:rsid w:val="002739B1"/>
    <w:rsid w:val="002744E5"/>
    <w:rsid w:val="0027618B"/>
    <w:rsid w:val="00276648"/>
    <w:rsid w:val="00276E5F"/>
    <w:rsid w:val="00277A84"/>
    <w:rsid w:val="002807D3"/>
    <w:rsid w:val="00280947"/>
    <w:rsid w:val="002811F2"/>
    <w:rsid w:val="002818C3"/>
    <w:rsid w:val="00282030"/>
    <w:rsid w:val="0028211E"/>
    <w:rsid w:val="002825C7"/>
    <w:rsid w:val="00283CB0"/>
    <w:rsid w:val="0028488A"/>
    <w:rsid w:val="00285D4B"/>
    <w:rsid w:val="00286DFF"/>
    <w:rsid w:val="00292870"/>
    <w:rsid w:val="00292FC4"/>
    <w:rsid w:val="00293983"/>
    <w:rsid w:val="00293A08"/>
    <w:rsid w:val="00295B4C"/>
    <w:rsid w:val="00295B85"/>
    <w:rsid w:val="00296014"/>
    <w:rsid w:val="002966E9"/>
    <w:rsid w:val="00296760"/>
    <w:rsid w:val="0029698D"/>
    <w:rsid w:val="0029710F"/>
    <w:rsid w:val="00297DA6"/>
    <w:rsid w:val="002A0BD2"/>
    <w:rsid w:val="002A0E86"/>
    <w:rsid w:val="002A1C62"/>
    <w:rsid w:val="002A2269"/>
    <w:rsid w:val="002A2850"/>
    <w:rsid w:val="002A451D"/>
    <w:rsid w:val="002B3AD5"/>
    <w:rsid w:val="002B4030"/>
    <w:rsid w:val="002B445F"/>
    <w:rsid w:val="002B455D"/>
    <w:rsid w:val="002B46B2"/>
    <w:rsid w:val="002B4B32"/>
    <w:rsid w:val="002B56F6"/>
    <w:rsid w:val="002B6020"/>
    <w:rsid w:val="002B65FB"/>
    <w:rsid w:val="002B6805"/>
    <w:rsid w:val="002B6A0A"/>
    <w:rsid w:val="002B7EA9"/>
    <w:rsid w:val="002C089B"/>
    <w:rsid w:val="002C31BB"/>
    <w:rsid w:val="002C4A76"/>
    <w:rsid w:val="002C6917"/>
    <w:rsid w:val="002C6BC0"/>
    <w:rsid w:val="002C70E6"/>
    <w:rsid w:val="002D06A5"/>
    <w:rsid w:val="002D1F0C"/>
    <w:rsid w:val="002D2E29"/>
    <w:rsid w:val="002D302C"/>
    <w:rsid w:val="002D5AB5"/>
    <w:rsid w:val="002D5C3F"/>
    <w:rsid w:val="002D6938"/>
    <w:rsid w:val="002D7969"/>
    <w:rsid w:val="002D7BF7"/>
    <w:rsid w:val="002E0157"/>
    <w:rsid w:val="002E104E"/>
    <w:rsid w:val="002E3AB3"/>
    <w:rsid w:val="002E492F"/>
    <w:rsid w:val="002E5994"/>
    <w:rsid w:val="002E6505"/>
    <w:rsid w:val="002E773C"/>
    <w:rsid w:val="002F19EF"/>
    <w:rsid w:val="002F3797"/>
    <w:rsid w:val="002F3D8B"/>
    <w:rsid w:val="002F4B8E"/>
    <w:rsid w:val="002F53F8"/>
    <w:rsid w:val="002F587F"/>
    <w:rsid w:val="002F642E"/>
    <w:rsid w:val="002F6848"/>
    <w:rsid w:val="0030036F"/>
    <w:rsid w:val="00300469"/>
    <w:rsid w:val="0030176B"/>
    <w:rsid w:val="00301E3D"/>
    <w:rsid w:val="00303F9C"/>
    <w:rsid w:val="003047CB"/>
    <w:rsid w:val="003047E1"/>
    <w:rsid w:val="00304B2C"/>
    <w:rsid w:val="0030515C"/>
    <w:rsid w:val="00305D81"/>
    <w:rsid w:val="00310E5F"/>
    <w:rsid w:val="00311521"/>
    <w:rsid w:val="0031195C"/>
    <w:rsid w:val="003121CC"/>
    <w:rsid w:val="00312355"/>
    <w:rsid w:val="003133FA"/>
    <w:rsid w:val="00313F0F"/>
    <w:rsid w:val="0031414D"/>
    <w:rsid w:val="003150E5"/>
    <w:rsid w:val="00315176"/>
    <w:rsid w:val="003151F8"/>
    <w:rsid w:val="00315E65"/>
    <w:rsid w:val="003209C6"/>
    <w:rsid w:val="003213D2"/>
    <w:rsid w:val="00321753"/>
    <w:rsid w:val="0032346B"/>
    <w:rsid w:val="003235C3"/>
    <w:rsid w:val="00324714"/>
    <w:rsid w:val="00325FA3"/>
    <w:rsid w:val="00330A01"/>
    <w:rsid w:val="00331A39"/>
    <w:rsid w:val="0033358D"/>
    <w:rsid w:val="0033387B"/>
    <w:rsid w:val="003340F9"/>
    <w:rsid w:val="003352A9"/>
    <w:rsid w:val="00335A51"/>
    <w:rsid w:val="00341AB4"/>
    <w:rsid w:val="0034265A"/>
    <w:rsid w:val="0034293A"/>
    <w:rsid w:val="00342B08"/>
    <w:rsid w:val="00342B84"/>
    <w:rsid w:val="003438F4"/>
    <w:rsid w:val="00344540"/>
    <w:rsid w:val="003461C6"/>
    <w:rsid w:val="00346521"/>
    <w:rsid w:val="0034702D"/>
    <w:rsid w:val="0034773C"/>
    <w:rsid w:val="00351F8D"/>
    <w:rsid w:val="00353746"/>
    <w:rsid w:val="00353FC8"/>
    <w:rsid w:val="003540E2"/>
    <w:rsid w:val="0035430E"/>
    <w:rsid w:val="003552DE"/>
    <w:rsid w:val="003556F1"/>
    <w:rsid w:val="0035671B"/>
    <w:rsid w:val="00357202"/>
    <w:rsid w:val="003619C5"/>
    <w:rsid w:val="00362017"/>
    <w:rsid w:val="00363FC6"/>
    <w:rsid w:val="00367E06"/>
    <w:rsid w:val="003717E5"/>
    <w:rsid w:val="0037230F"/>
    <w:rsid w:val="003723C4"/>
    <w:rsid w:val="003731B4"/>
    <w:rsid w:val="0037344F"/>
    <w:rsid w:val="003742F0"/>
    <w:rsid w:val="003760B7"/>
    <w:rsid w:val="003769C8"/>
    <w:rsid w:val="0037710B"/>
    <w:rsid w:val="0037746A"/>
    <w:rsid w:val="003777A9"/>
    <w:rsid w:val="00377896"/>
    <w:rsid w:val="00382D82"/>
    <w:rsid w:val="00383085"/>
    <w:rsid w:val="00384D19"/>
    <w:rsid w:val="003861BE"/>
    <w:rsid w:val="0039220D"/>
    <w:rsid w:val="00392211"/>
    <w:rsid w:val="003928A0"/>
    <w:rsid w:val="003936E1"/>
    <w:rsid w:val="0039500C"/>
    <w:rsid w:val="00395691"/>
    <w:rsid w:val="00396194"/>
    <w:rsid w:val="003967CE"/>
    <w:rsid w:val="003978E0"/>
    <w:rsid w:val="003A0DFA"/>
    <w:rsid w:val="003A1756"/>
    <w:rsid w:val="003A231B"/>
    <w:rsid w:val="003A2A90"/>
    <w:rsid w:val="003A3951"/>
    <w:rsid w:val="003A5602"/>
    <w:rsid w:val="003B1646"/>
    <w:rsid w:val="003B1C42"/>
    <w:rsid w:val="003B2EA9"/>
    <w:rsid w:val="003B319C"/>
    <w:rsid w:val="003B4345"/>
    <w:rsid w:val="003B53A9"/>
    <w:rsid w:val="003B5CE4"/>
    <w:rsid w:val="003B659D"/>
    <w:rsid w:val="003B7223"/>
    <w:rsid w:val="003B7EDB"/>
    <w:rsid w:val="003C20D7"/>
    <w:rsid w:val="003C28AE"/>
    <w:rsid w:val="003C3090"/>
    <w:rsid w:val="003C3330"/>
    <w:rsid w:val="003C4573"/>
    <w:rsid w:val="003C4BAD"/>
    <w:rsid w:val="003C72D8"/>
    <w:rsid w:val="003D3AFA"/>
    <w:rsid w:val="003D3D82"/>
    <w:rsid w:val="003D6A6E"/>
    <w:rsid w:val="003D6ACB"/>
    <w:rsid w:val="003D6F23"/>
    <w:rsid w:val="003D76DA"/>
    <w:rsid w:val="003E0704"/>
    <w:rsid w:val="003E0E5E"/>
    <w:rsid w:val="003E1429"/>
    <w:rsid w:val="003E191F"/>
    <w:rsid w:val="003E1F7F"/>
    <w:rsid w:val="003E20AD"/>
    <w:rsid w:val="003E2185"/>
    <w:rsid w:val="003E21BF"/>
    <w:rsid w:val="003E3581"/>
    <w:rsid w:val="003E470D"/>
    <w:rsid w:val="003E513B"/>
    <w:rsid w:val="003E6E28"/>
    <w:rsid w:val="003E74D0"/>
    <w:rsid w:val="003F0F3E"/>
    <w:rsid w:val="003F1372"/>
    <w:rsid w:val="003F1DC0"/>
    <w:rsid w:val="003F366D"/>
    <w:rsid w:val="003F3D62"/>
    <w:rsid w:val="003F5232"/>
    <w:rsid w:val="00400693"/>
    <w:rsid w:val="00401B64"/>
    <w:rsid w:val="00402029"/>
    <w:rsid w:val="00402577"/>
    <w:rsid w:val="00402C8B"/>
    <w:rsid w:val="004034A8"/>
    <w:rsid w:val="00403775"/>
    <w:rsid w:val="00403AFA"/>
    <w:rsid w:val="00405426"/>
    <w:rsid w:val="00405824"/>
    <w:rsid w:val="00405844"/>
    <w:rsid w:val="00406215"/>
    <w:rsid w:val="00410441"/>
    <w:rsid w:val="00411276"/>
    <w:rsid w:val="00413245"/>
    <w:rsid w:val="004148FF"/>
    <w:rsid w:val="00414E6F"/>
    <w:rsid w:val="00414EF5"/>
    <w:rsid w:val="00414F24"/>
    <w:rsid w:val="004151C2"/>
    <w:rsid w:val="004156D5"/>
    <w:rsid w:val="00415FC5"/>
    <w:rsid w:val="00416E34"/>
    <w:rsid w:val="00421268"/>
    <w:rsid w:val="00421302"/>
    <w:rsid w:val="00421EEE"/>
    <w:rsid w:val="004227EA"/>
    <w:rsid w:val="00422CC3"/>
    <w:rsid w:val="00424857"/>
    <w:rsid w:val="00424FF0"/>
    <w:rsid w:val="004259A9"/>
    <w:rsid w:val="00425C14"/>
    <w:rsid w:val="00425E59"/>
    <w:rsid w:val="00426191"/>
    <w:rsid w:val="00430134"/>
    <w:rsid w:val="00431953"/>
    <w:rsid w:val="0043219C"/>
    <w:rsid w:val="00432241"/>
    <w:rsid w:val="00432641"/>
    <w:rsid w:val="0043351C"/>
    <w:rsid w:val="00433AF3"/>
    <w:rsid w:val="0043465C"/>
    <w:rsid w:val="00435617"/>
    <w:rsid w:val="00441FA6"/>
    <w:rsid w:val="00442A99"/>
    <w:rsid w:val="00442F16"/>
    <w:rsid w:val="00443ECC"/>
    <w:rsid w:val="004514C8"/>
    <w:rsid w:val="00451E16"/>
    <w:rsid w:val="00453ED7"/>
    <w:rsid w:val="0045601B"/>
    <w:rsid w:val="00456CD5"/>
    <w:rsid w:val="00460029"/>
    <w:rsid w:val="004601A5"/>
    <w:rsid w:val="00460822"/>
    <w:rsid w:val="00462E48"/>
    <w:rsid w:val="00463A84"/>
    <w:rsid w:val="00464C28"/>
    <w:rsid w:val="00464F17"/>
    <w:rsid w:val="00465A03"/>
    <w:rsid w:val="00466D38"/>
    <w:rsid w:val="0046749D"/>
    <w:rsid w:val="00470E14"/>
    <w:rsid w:val="00474023"/>
    <w:rsid w:val="00474BF2"/>
    <w:rsid w:val="00476D47"/>
    <w:rsid w:val="0047799E"/>
    <w:rsid w:val="00481145"/>
    <w:rsid w:val="00481513"/>
    <w:rsid w:val="00481A98"/>
    <w:rsid w:val="00481E6A"/>
    <w:rsid w:val="00484450"/>
    <w:rsid w:val="00484A62"/>
    <w:rsid w:val="00486A5F"/>
    <w:rsid w:val="00486DAD"/>
    <w:rsid w:val="004872C3"/>
    <w:rsid w:val="00487442"/>
    <w:rsid w:val="00487553"/>
    <w:rsid w:val="00491B2A"/>
    <w:rsid w:val="00491CA4"/>
    <w:rsid w:val="00492AF7"/>
    <w:rsid w:val="00494E6E"/>
    <w:rsid w:val="00495F48"/>
    <w:rsid w:val="004960F0"/>
    <w:rsid w:val="004973A6"/>
    <w:rsid w:val="00497D0E"/>
    <w:rsid w:val="004A036E"/>
    <w:rsid w:val="004A155F"/>
    <w:rsid w:val="004A5C13"/>
    <w:rsid w:val="004A6092"/>
    <w:rsid w:val="004A768E"/>
    <w:rsid w:val="004A7FE3"/>
    <w:rsid w:val="004B0073"/>
    <w:rsid w:val="004B0815"/>
    <w:rsid w:val="004B169B"/>
    <w:rsid w:val="004B1ACF"/>
    <w:rsid w:val="004B2803"/>
    <w:rsid w:val="004B2B9D"/>
    <w:rsid w:val="004B3D85"/>
    <w:rsid w:val="004B50FB"/>
    <w:rsid w:val="004B511D"/>
    <w:rsid w:val="004B61F9"/>
    <w:rsid w:val="004B7227"/>
    <w:rsid w:val="004C17EC"/>
    <w:rsid w:val="004C1E9A"/>
    <w:rsid w:val="004C2FD9"/>
    <w:rsid w:val="004C58A0"/>
    <w:rsid w:val="004D0AA6"/>
    <w:rsid w:val="004D21F0"/>
    <w:rsid w:val="004D2C00"/>
    <w:rsid w:val="004D3041"/>
    <w:rsid w:val="004D40C2"/>
    <w:rsid w:val="004D483C"/>
    <w:rsid w:val="004D4AF0"/>
    <w:rsid w:val="004D55AC"/>
    <w:rsid w:val="004D5A59"/>
    <w:rsid w:val="004E129B"/>
    <w:rsid w:val="004E1B39"/>
    <w:rsid w:val="004E515B"/>
    <w:rsid w:val="004E70BA"/>
    <w:rsid w:val="004E71FA"/>
    <w:rsid w:val="004F0AEB"/>
    <w:rsid w:val="004F15D2"/>
    <w:rsid w:val="004F22BC"/>
    <w:rsid w:val="004F3C8A"/>
    <w:rsid w:val="004F42D4"/>
    <w:rsid w:val="004F4727"/>
    <w:rsid w:val="005000BC"/>
    <w:rsid w:val="0050023E"/>
    <w:rsid w:val="00500E1E"/>
    <w:rsid w:val="00501554"/>
    <w:rsid w:val="00501892"/>
    <w:rsid w:val="00501B42"/>
    <w:rsid w:val="00502B7F"/>
    <w:rsid w:val="00504503"/>
    <w:rsid w:val="00504554"/>
    <w:rsid w:val="00504A7E"/>
    <w:rsid w:val="00507077"/>
    <w:rsid w:val="00507A20"/>
    <w:rsid w:val="00507C4E"/>
    <w:rsid w:val="005100F1"/>
    <w:rsid w:val="00513F5B"/>
    <w:rsid w:val="00514BE6"/>
    <w:rsid w:val="0051501E"/>
    <w:rsid w:val="00515776"/>
    <w:rsid w:val="0051680E"/>
    <w:rsid w:val="00517662"/>
    <w:rsid w:val="00520095"/>
    <w:rsid w:val="00520FFE"/>
    <w:rsid w:val="00521B5F"/>
    <w:rsid w:val="00523607"/>
    <w:rsid w:val="005236DE"/>
    <w:rsid w:val="00523E35"/>
    <w:rsid w:val="00524DAC"/>
    <w:rsid w:val="00525950"/>
    <w:rsid w:val="00525EC5"/>
    <w:rsid w:val="00526513"/>
    <w:rsid w:val="005266BB"/>
    <w:rsid w:val="00530C26"/>
    <w:rsid w:val="00531EC3"/>
    <w:rsid w:val="0053360B"/>
    <w:rsid w:val="00533794"/>
    <w:rsid w:val="00533BA7"/>
    <w:rsid w:val="00533D55"/>
    <w:rsid w:val="00534159"/>
    <w:rsid w:val="005344A1"/>
    <w:rsid w:val="00535062"/>
    <w:rsid w:val="00535CCA"/>
    <w:rsid w:val="00536BE4"/>
    <w:rsid w:val="00540833"/>
    <w:rsid w:val="005422F4"/>
    <w:rsid w:val="00542E4C"/>
    <w:rsid w:val="00542F72"/>
    <w:rsid w:val="005450CF"/>
    <w:rsid w:val="005458A1"/>
    <w:rsid w:val="00545D19"/>
    <w:rsid w:val="00546F0C"/>
    <w:rsid w:val="0054789A"/>
    <w:rsid w:val="00551D94"/>
    <w:rsid w:val="005523E2"/>
    <w:rsid w:val="00554DE6"/>
    <w:rsid w:val="0055568F"/>
    <w:rsid w:val="005605BD"/>
    <w:rsid w:val="00560954"/>
    <w:rsid w:val="00562AB6"/>
    <w:rsid w:val="00564FBF"/>
    <w:rsid w:val="005653B4"/>
    <w:rsid w:val="005654B1"/>
    <w:rsid w:val="00566182"/>
    <w:rsid w:val="005664AE"/>
    <w:rsid w:val="0056688C"/>
    <w:rsid w:val="0056729B"/>
    <w:rsid w:val="0057146A"/>
    <w:rsid w:val="0057278E"/>
    <w:rsid w:val="005730AF"/>
    <w:rsid w:val="0057454F"/>
    <w:rsid w:val="00574AD2"/>
    <w:rsid w:val="00574CD9"/>
    <w:rsid w:val="00575903"/>
    <w:rsid w:val="00576E2D"/>
    <w:rsid w:val="00582B6B"/>
    <w:rsid w:val="0058538A"/>
    <w:rsid w:val="00585AAC"/>
    <w:rsid w:val="00585ECC"/>
    <w:rsid w:val="005864C4"/>
    <w:rsid w:val="00587DA3"/>
    <w:rsid w:val="00590C39"/>
    <w:rsid w:val="00590C6B"/>
    <w:rsid w:val="00591478"/>
    <w:rsid w:val="00591EAD"/>
    <w:rsid w:val="005927A6"/>
    <w:rsid w:val="005928C9"/>
    <w:rsid w:val="00592A0B"/>
    <w:rsid w:val="00594F65"/>
    <w:rsid w:val="00595356"/>
    <w:rsid w:val="00595548"/>
    <w:rsid w:val="00596379"/>
    <w:rsid w:val="005968DB"/>
    <w:rsid w:val="005A00FC"/>
    <w:rsid w:val="005A19A7"/>
    <w:rsid w:val="005A1FF7"/>
    <w:rsid w:val="005A6DDC"/>
    <w:rsid w:val="005A6E64"/>
    <w:rsid w:val="005A7DCB"/>
    <w:rsid w:val="005B1798"/>
    <w:rsid w:val="005B1D33"/>
    <w:rsid w:val="005B22B1"/>
    <w:rsid w:val="005B343C"/>
    <w:rsid w:val="005B46B8"/>
    <w:rsid w:val="005B57BA"/>
    <w:rsid w:val="005B5FA3"/>
    <w:rsid w:val="005C136B"/>
    <w:rsid w:val="005C174A"/>
    <w:rsid w:val="005C2A23"/>
    <w:rsid w:val="005C2B21"/>
    <w:rsid w:val="005C3896"/>
    <w:rsid w:val="005C3E78"/>
    <w:rsid w:val="005D00A0"/>
    <w:rsid w:val="005D1AA2"/>
    <w:rsid w:val="005D52B6"/>
    <w:rsid w:val="005D7E57"/>
    <w:rsid w:val="005E1DD2"/>
    <w:rsid w:val="005E2E18"/>
    <w:rsid w:val="005E369F"/>
    <w:rsid w:val="005E493E"/>
    <w:rsid w:val="005E5084"/>
    <w:rsid w:val="005E59BD"/>
    <w:rsid w:val="005E5D3B"/>
    <w:rsid w:val="005E641B"/>
    <w:rsid w:val="005E7629"/>
    <w:rsid w:val="005F329B"/>
    <w:rsid w:val="005F35FF"/>
    <w:rsid w:val="005F5768"/>
    <w:rsid w:val="005F5F44"/>
    <w:rsid w:val="005F62E7"/>
    <w:rsid w:val="005F6E17"/>
    <w:rsid w:val="005F6E3C"/>
    <w:rsid w:val="005F7E20"/>
    <w:rsid w:val="00600212"/>
    <w:rsid w:val="00601307"/>
    <w:rsid w:val="006016B6"/>
    <w:rsid w:val="006019A5"/>
    <w:rsid w:val="00601DB6"/>
    <w:rsid w:val="006023D7"/>
    <w:rsid w:val="00603115"/>
    <w:rsid w:val="00603184"/>
    <w:rsid w:val="006046B1"/>
    <w:rsid w:val="00605107"/>
    <w:rsid w:val="0060515F"/>
    <w:rsid w:val="006054F0"/>
    <w:rsid w:val="00605878"/>
    <w:rsid w:val="00605CE0"/>
    <w:rsid w:val="0060628F"/>
    <w:rsid w:val="00606FC6"/>
    <w:rsid w:val="00613EB0"/>
    <w:rsid w:val="006142E7"/>
    <w:rsid w:val="00614BF8"/>
    <w:rsid w:val="00614FF9"/>
    <w:rsid w:val="00620BC2"/>
    <w:rsid w:val="00621093"/>
    <w:rsid w:val="00623F8C"/>
    <w:rsid w:val="00624F4B"/>
    <w:rsid w:val="006261A1"/>
    <w:rsid w:val="0062741C"/>
    <w:rsid w:val="00627782"/>
    <w:rsid w:val="00627A37"/>
    <w:rsid w:val="00630903"/>
    <w:rsid w:val="0063250A"/>
    <w:rsid w:val="00632922"/>
    <w:rsid w:val="00633E72"/>
    <w:rsid w:val="00635067"/>
    <w:rsid w:val="00635D0C"/>
    <w:rsid w:val="006361F7"/>
    <w:rsid w:val="006364D6"/>
    <w:rsid w:val="006366B5"/>
    <w:rsid w:val="00637FAC"/>
    <w:rsid w:val="00640463"/>
    <w:rsid w:val="00641D7E"/>
    <w:rsid w:val="00646F30"/>
    <w:rsid w:val="00646F55"/>
    <w:rsid w:val="00647290"/>
    <w:rsid w:val="006474D3"/>
    <w:rsid w:val="006501A1"/>
    <w:rsid w:val="00651A13"/>
    <w:rsid w:val="00651A2E"/>
    <w:rsid w:val="00652551"/>
    <w:rsid w:val="00653F07"/>
    <w:rsid w:val="0065478F"/>
    <w:rsid w:val="00654B98"/>
    <w:rsid w:val="00656708"/>
    <w:rsid w:val="006568E7"/>
    <w:rsid w:val="00661943"/>
    <w:rsid w:val="00661DED"/>
    <w:rsid w:val="00662E42"/>
    <w:rsid w:val="0066326D"/>
    <w:rsid w:val="0066461A"/>
    <w:rsid w:val="006647B0"/>
    <w:rsid w:val="00665091"/>
    <w:rsid w:val="00666052"/>
    <w:rsid w:val="00667C63"/>
    <w:rsid w:val="0067047B"/>
    <w:rsid w:val="006708F7"/>
    <w:rsid w:val="0067140C"/>
    <w:rsid w:val="006723E4"/>
    <w:rsid w:val="006727BA"/>
    <w:rsid w:val="0067380D"/>
    <w:rsid w:val="00673985"/>
    <w:rsid w:val="00675070"/>
    <w:rsid w:val="00675CC2"/>
    <w:rsid w:val="00677B2C"/>
    <w:rsid w:val="0068099D"/>
    <w:rsid w:val="00680B7C"/>
    <w:rsid w:val="00681408"/>
    <w:rsid w:val="006828A6"/>
    <w:rsid w:val="00683522"/>
    <w:rsid w:val="00683A27"/>
    <w:rsid w:val="00684346"/>
    <w:rsid w:val="00686A7D"/>
    <w:rsid w:val="00686A8B"/>
    <w:rsid w:val="00687670"/>
    <w:rsid w:val="0069033F"/>
    <w:rsid w:val="006912A9"/>
    <w:rsid w:val="006913D8"/>
    <w:rsid w:val="0069221A"/>
    <w:rsid w:val="006932D4"/>
    <w:rsid w:val="00693CEC"/>
    <w:rsid w:val="0069658E"/>
    <w:rsid w:val="00696977"/>
    <w:rsid w:val="006975E2"/>
    <w:rsid w:val="006A1A33"/>
    <w:rsid w:val="006A1B56"/>
    <w:rsid w:val="006A24BD"/>
    <w:rsid w:val="006A2947"/>
    <w:rsid w:val="006A2B98"/>
    <w:rsid w:val="006A39A6"/>
    <w:rsid w:val="006A68E7"/>
    <w:rsid w:val="006A7F9E"/>
    <w:rsid w:val="006B05BA"/>
    <w:rsid w:val="006B0CD0"/>
    <w:rsid w:val="006B105C"/>
    <w:rsid w:val="006B315A"/>
    <w:rsid w:val="006B327C"/>
    <w:rsid w:val="006B3346"/>
    <w:rsid w:val="006B3E6D"/>
    <w:rsid w:val="006B4605"/>
    <w:rsid w:val="006B4BE6"/>
    <w:rsid w:val="006B5D12"/>
    <w:rsid w:val="006B7831"/>
    <w:rsid w:val="006C23E3"/>
    <w:rsid w:val="006C30E6"/>
    <w:rsid w:val="006C363F"/>
    <w:rsid w:val="006C4283"/>
    <w:rsid w:val="006C465F"/>
    <w:rsid w:val="006C513F"/>
    <w:rsid w:val="006C5231"/>
    <w:rsid w:val="006C5B90"/>
    <w:rsid w:val="006D04D4"/>
    <w:rsid w:val="006D0948"/>
    <w:rsid w:val="006D1755"/>
    <w:rsid w:val="006D2447"/>
    <w:rsid w:val="006D2D7E"/>
    <w:rsid w:val="006D36D3"/>
    <w:rsid w:val="006D3C31"/>
    <w:rsid w:val="006D50E0"/>
    <w:rsid w:val="006D5150"/>
    <w:rsid w:val="006D5192"/>
    <w:rsid w:val="006D6EEC"/>
    <w:rsid w:val="006D7547"/>
    <w:rsid w:val="006E0739"/>
    <w:rsid w:val="006E1274"/>
    <w:rsid w:val="006E19F1"/>
    <w:rsid w:val="006E255F"/>
    <w:rsid w:val="006E2DAA"/>
    <w:rsid w:val="006F287F"/>
    <w:rsid w:val="006F2CE5"/>
    <w:rsid w:val="006F4D05"/>
    <w:rsid w:val="006F533D"/>
    <w:rsid w:val="006F5B5C"/>
    <w:rsid w:val="006F5FFC"/>
    <w:rsid w:val="006F6F20"/>
    <w:rsid w:val="006F71E2"/>
    <w:rsid w:val="00700862"/>
    <w:rsid w:val="00700AF5"/>
    <w:rsid w:val="007026BB"/>
    <w:rsid w:val="007037C7"/>
    <w:rsid w:val="00703DB7"/>
    <w:rsid w:val="00705602"/>
    <w:rsid w:val="007112FC"/>
    <w:rsid w:val="007114DE"/>
    <w:rsid w:val="00712722"/>
    <w:rsid w:val="007130EC"/>
    <w:rsid w:val="00713DFA"/>
    <w:rsid w:val="007160BE"/>
    <w:rsid w:val="00717555"/>
    <w:rsid w:val="00720CC2"/>
    <w:rsid w:val="00720F8E"/>
    <w:rsid w:val="00721941"/>
    <w:rsid w:val="00722755"/>
    <w:rsid w:val="007233EB"/>
    <w:rsid w:val="00724454"/>
    <w:rsid w:val="007255C5"/>
    <w:rsid w:val="0072593F"/>
    <w:rsid w:val="00726461"/>
    <w:rsid w:val="007266C2"/>
    <w:rsid w:val="00731196"/>
    <w:rsid w:val="00731392"/>
    <w:rsid w:val="00731A7B"/>
    <w:rsid w:val="0073322E"/>
    <w:rsid w:val="00734F3D"/>
    <w:rsid w:val="007365CD"/>
    <w:rsid w:val="00736683"/>
    <w:rsid w:val="0073792D"/>
    <w:rsid w:val="0074056E"/>
    <w:rsid w:val="007405A4"/>
    <w:rsid w:val="00740F25"/>
    <w:rsid w:val="00742DB4"/>
    <w:rsid w:val="00743435"/>
    <w:rsid w:val="00743A11"/>
    <w:rsid w:val="0074495F"/>
    <w:rsid w:val="0074719A"/>
    <w:rsid w:val="0074745B"/>
    <w:rsid w:val="0075165E"/>
    <w:rsid w:val="00752213"/>
    <w:rsid w:val="0075556B"/>
    <w:rsid w:val="007560EE"/>
    <w:rsid w:val="00757CCA"/>
    <w:rsid w:val="00761341"/>
    <w:rsid w:val="00761C8B"/>
    <w:rsid w:val="00764E99"/>
    <w:rsid w:val="00765FC1"/>
    <w:rsid w:val="00766D7E"/>
    <w:rsid w:val="00770C04"/>
    <w:rsid w:val="0077349D"/>
    <w:rsid w:val="007768A2"/>
    <w:rsid w:val="00776B71"/>
    <w:rsid w:val="00776C62"/>
    <w:rsid w:val="0077709A"/>
    <w:rsid w:val="00777626"/>
    <w:rsid w:val="00777D21"/>
    <w:rsid w:val="00777D6B"/>
    <w:rsid w:val="00781E94"/>
    <w:rsid w:val="00783D6B"/>
    <w:rsid w:val="00783E4C"/>
    <w:rsid w:val="0078586A"/>
    <w:rsid w:val="007865A5"/>
    <w:rsid w:val="007870EE"/>
    <w:rsid w:val="00787F3F"/>
    <w:rsid w:val="007929DA"/>
    <w:rsid w:val="00794336"/>
    <w:rsid w:val="00795A62"/>
    <w:rsid w:val="007965BF"/>
    <w:rsid w:val="00797296"/>
    <w:rsid w:val="007A4A85"/>
    <w:rsid w:val="007A50FB"/>
    <w:rsid w:val="007A59FF"/>
    <w:rsid w:val="007A6730"/>
    <w:rsid w:val="007A69B3"/>
    <w:rsid w:val="007A6C37"/>
    <w:rsid w:val="007A7EF8"/>
    <w:rsid w:val="007B095C"/>
    <w:rsid w:val="007B2014"/>
    <w:rsid w:val="007B468E"/>
    <w:rsid w:val="007B4AF0"/>
    <w:rsid w:val="007B67FE"/>
    <w:rsid w:val="007B68C8"/>
    <w:rsid w:val="007B7521"/>
    <w:rsid w:val="007B7E6E"/>
    <w:rsid w:val="007C1142"/>
    <w:rsid w:val="007C232B"/>
    <w:rsid w:val="007C340F"/>
    <w:rsid w:val="007C3C59"/>
    <w:rsid w:val="007C3DE3"/>
    <w:rsid w:val="007C5A60"/>
    <w:rsid w:val="007C67D4"/>
    <w:rsid w:val="007C7796"/>
    <w:rsid w:val="007D384A"/>
    <w:rsid w:val="007D5134"/>
    <w:rsid w:val="007D5346"/>
    <w:rsid w:val="007D64DF"/>
    <w:rsid w:val="007D6E48"/>
    <w:rsid w:val="007E059B"/>
    <w:rsid w:val="007E22E9"/>
    <w:rsid w:val="007E2B7B"/>
    <w:rsid w:val="007E2F10"/>
    <w:rsid w:val="007E30A0"/>
    <w:rsid w:val="007E3B11"/>
    <w:rsid w:val="007E78F9"/>
    <w:rsid w:val="007F10C7"/>
    <w:rsid w:val="007F14BE"/>
    <w:rsid w:val="007F3C4C"/>
    <w:rsid w:val="007F4C42"/>
    <w:rsid w:val="007F5FAF"/>
    <w:rsid w:val="007F704A"/>
    <w:rsid w:val="00800DB3"/>
    <w:rsid w:val="0080112F"/>
    <w:rsid w:val="0080156E"/>
    <w:rsid w:val="00802B6E"/>
    <w:rsid w:val="00804165"/>
    <w:rsid w:val="008042A0"/>
    <w:rsid w:val="008048C0"/>
    <w:rsid w:val="0080661C"/>
    <w:rsid w:val="00807F74"/>
    <w:rsid w:val="0081010D"/>
    <w:rsid w:val="0081053A"/>
    <w:rsid w:val="00810A4D"/>
    <w:rsid w:val="00811857"/>
    <w:rsid w:val="00812AB0"/>
    <w:rsid w:val="00812C0D"/>
    <w:rsid w:val="00812F1D"/>
    <w:rsid w:val="008132FE"/>
    <w:rsid w:val="00813808"/>
    <w:rsid w:val="00814DEB"/>
    <w:rsid w:val="0081545F"/>
    <w:rsid w:val="00816544"/>
    <w:rsid w:val="00817969"/>
    <w:rsid w:val="00817EDC"/>
    <w:rsid w:val="00821541"/>
    <w:rsid w:val="00823280"/>
    <w:rsid w:val="00823832"/>
    <w:rsid w:val="00825494"/>
    <w:rsid w:val="00825C20"/>
    <w:rsid w:val="00826C95"/>
    <w:rsid w:val="008279AE"/>
    <w:rsid w:val="00832870"/>
    <w:rsid w:val="00833C43"/>
    <w:rsid w:val="00833ECF"/>
    <w:rsid w:val="008342F4"/>
    <w:rsid w:val="00835FB9"/>
    <w:rsid w:val="00841C73"/>
    <w:rsid w:val="00841E4F"/>
    <w:rsid w:val="008426FE"/>
    <w:rsid w:val="00842754"/>
    <w:rsid w:val="008432A0"/>
    <w:rsid w:val="00845BDD"/>
    <w:rsid w:val="00845C52"/>
    <w:rsid w:val="00845E7B"/>
    <w:rsid w:val="008463C3"/>
    <w:rsid w:val="008469F8"/>
    <w:rsid w:val="00847AD5"/>
    <w:rsid w:val="0085204E"/>
    <w:rsid w:val="0085241A"/>
    <w:rsid w:val="00856A85"/>
    <w:rsid w:val="008575F6"/>
    <w:rsid w:val="0086000A"/>
    <w:rsid w:val="008608A5"/>
    <w:rsid w:val="00861DF0"/>
    <w:rsid w:val="00866DCD"/>
    <w:rsid w:val="00867760"/>
    <w:rsid w:val="00870F69"/>
    <w:rsid w:val="008729CC"/>
    <w:rsid w:val="008740D0"/>
    <w:rsid w:val="008746D6"/>
    <w:rsid w:val="008759D4"/>
    <w:rsid w:val="0088115C"/>
    <w:rsid w:val="00882CB6"/>
    <w:rsid w:val="0088515D"/>
    <w:rsid w:val="00885A24"/>
    <w:rsid w:val="008866A1"/>
    <w:rsid w:val="008873E7"/>
    <w:rsid w:val="008900C3"/>
    <w:rsid w:val="0089025B"/>
    <w:rsid w:val="008916C0"/>
    <w:rsid w:val="00891CD5"/>
    <w:rsid w:val="0089212D"/>
    <w:rsid w:val="008924A9"/>
    <w:rsid w:val="0089303E"/>
    <w:rsid w:val="00894047"/>
    <w:rsid w:val="0089504E"/>
    <w:rsid w:val="008967FD"/>
    <w:rsid w:val="00897ADD"/>
    <w:rsid w:val="008A0F25"/>
    <w:rsid w:val="008A1C5C"/>
    <w:rsid w:val="008A2C10"/>
    <w:rsid w:val="008A2ECD"/>
    <w:rsid w:val="008A2FEF"/>
    <w:rsid w:val="008A3E6D"/>
    <w:rsid w:val="008A6A67"/>
    <w:rsid w:val="008A7014"/>
    <w:rsid w:val="008B051F"/>
    <w:rsid w:val="008B06D1"/>
    <w:rsid w:val="008B1FFB"/>
    <w:rsid w:val="008B20D4"/>
    <w:rsid w:val="008B29AA"/>
    <w:rsid w:val="008B35B0"/>
    <w:rsid w:val="008B4DD4"/>
    <w:rsid w:val="008B5A8C"/>
    <w:rsid w:val="008B65F0"/>
    <w:rsid w:val="008B7195"/>
    <w:rsid w:val="008B71FA"/>
    <w:rsid w:val="008C1408"/>
    <w:rsid w:val="008C32BF"/>
    <w:rsid w:val="008C41BD"/>
    <w:rsid w:val="008C51CF"/>
    <w:rsid w:val="008C569B"/>
    <w:rsid w:val="008C6061"/>
    <w:rsid w:val="008D1852"/>
    <w:rsid w:val="008D2482"/>
    <w:rsid w:val="008D2F4E"/>
    <w:rsid w:val="008D4253"/>
    <w:rsid w:val="008D641D"/>
    <w:rsid w:val="008D6B07"/>
    <w:rsid w:val="008D771D"/>
    <w:rsid w:val="008E35A1"/>
    <w:rsid w:val="008E3B44"/>
    <w:rsid w:val="008E548B"/>
    <w:rsid w:val="008E64CA"/>
    <w:rsid w:val="008E668E"/>
    <w:rsid w:val="008E68B7"/>
    <w:rsid w:val="008E698B"/>
    <w:rsid w:val="008F0A99"/>
    <w:rsid w:val="008F1DFC"/>
    <w:rsid w:val="008F2828"/>
    <w:rsid w:val="008F2BA2"/>
    <w:rsid w:val="008F4A2E"/>
    <w:rsid w:val="008F65F2"/>
    <w:rsid w:val="008F74A5"/>
    <w:rsid w:val="008F7F3E"/>
    <w:rsid w:val="00901138"/>
    <w:rsid w:val="00901CB3"/>
    <w:rsid w:val="009025BE"/>
    <w:rsid w:val="00902955"/>
    <w:rsid w:val="009034AC"/>
    <w:rsid w:val="00903935"/>
    <w:rsid w:val="00903B62"/>
    <w:rsid w:val="00903FBF"/>
    <w:rsid w:val="009040B4"/>
    <w:rsid w:val="0090548F"/>
    <w:rsid w:val="00906CA4"/>
    <w:rsid w:val="00906DE1"/>
    <w:rsid w:val="00906F2E"/>
    <w:rsid w:val="00907EBE"/>
    <w:rsid w:val="00910604"/>
    <w:rsid w:val="00912236"/>
    <w:rsid w:val="009124F3"/>
    <w:rsid w:val="0091344E"/>
    <w:rsid w:val="009153BA"/>
    <w:rsid w:val="009154BD"/>
    <w:rsid w:val="00915CEB"/>
    <w:rsid w:val="0092030A"/>
    <w:rsid w:val="0092069E"/>
    <w:rsid w:val="0092119C"/>
    <w:rsid w:val="009214FB"/>
    <w:rsid w:val="0092220B"/>
    <w:rsid w:val="0092357C"/>
    <w:rsid w:val="009238A1"/>
    <w:rsid w:val="00924749"/>
    <w:rsid w:val="00924F81"/>
    <w:rsid w:val="009256A0"/>
    <w:rsid w:val="00925C53"/>
    <w:rsid w:val="00925DEE"/>
    <w:rsid w:val="00926890"/>
    <w:rsid w:val="009273AA"/>
    <w:rsid w:val="00930B80"/>
    <w:rsid w:val="00931395"/>
    <w:rsid w:val="0093204E"/>
    <w:rsid w:val="00932889"/>
    <w:rsid w:val="00934D7A"/>
    <w:rsid w:val="009357DD"/>
    <w:rsid w:val="00936A21"/>
    <w:rsid w:val="0093757C"/>
    <w:rsid w:val="0094144E"/>
    <w:rsid w:val="00941A03"/>
    <w:rsid w:val="00941F9D"/>
    <w:rsid w:val="00942AD4"/>
    <w:rsid w:val="0094546D"/>
    <w:rsid w:val="00945532"/>
    <w:rsid w:val="00946820"/>
    <w:rsid w:val="00946DFD"/>
    <w:rsid w:val="00951413"/>
    <w:rsid w:val="00952198"/>
    <w:rsid w:val="00953E5D"/>
    <w:rsid w:val="00954D0A"/>
    <w:rsid w:val="0095565E"/>
    <w:rsid w:val="009562E6"/>
    <w:rsid w:val="00956304"/>
    <w:rsid w:val="00956F54"/>
    <w:rsid w:val="00957370"/>
    <w:rsid w:val="00962BB8"/>
    <w:rsid w:val="009632EF"/>
    <w:rsid w:val="00965D19"/>
    <w:rsid w:val="00967A5B"/>
    <w:rsid w:val="009719ED"/>
    <w:rsid w:val="0097250B"/>
    <w:rsid w:val="009734FD"/>
    <w:rsid w:val="0097385A"/>
    <w:rsid w:val="00973959"/>
    <w:rsid w:val="00973D48"/>
    <w:rsid w:val="00974083"/>
    <w:rsid w:val="009747D0"/>
    <w:rsid w:val="0097511E"/>
    <w:rsid w:val="0097638E"/>
    <w:rsid w:val="009777F2"/>
    <w:rsid w:val="00977C14"/>
    <w:rsid w:val="00980E29"/>
    <w:rsid w:val="00983466"/>
    <w:rsid w:val="00984BE4"/>
    <w:rsid w:val="00984D70"/>
    <w:rsid w:val="00985168"/>
    <w:rsid w:val="00985AC7"/>
    <w:rsid w:val="00987960"/>
    <w:rsid w:val="00991088"/>
    <w:rsid w:val="009921DB"/>
    <w:rsid w:val="00992C24"/>
    <w:rsid w:val="00992C93"/>
    <w:rsid w:val="00992F39"/>
    <w:rsid w:val="00993162"/>
    <w:rsid w:val="00994451"/>
    <w:rsid w:val="00994EDD"/>
    <w:rsid w:val="00995AC8"/>
    <w:rsid w:val="00996BEA"/>
    <w:rsid w:val="009A04CD"/>
    <w:rsid w:val="009A0601"/>
    <w:rsid w:val="009A1B3D"/>
    <w:rsid w:val="009A2511"/>
    <w:rsid w:val="009A34A6"/>
    <w:rsid w:val="009A3956"/>
    <w:rsid w:val="009A3AC1"/>
    <w:rsid w:val="009A4889"/>
    <w:rsid w:val="009A4B86"/>
    <w:rsid w:val="009A795D"/>
    <w:rsid w:val="009B1B86"/>
    <w:rsid w:val="009B2B39"/>
    <w:rsid w:val="009B48AF"/>
    <w:rsid w:val="009B638D"/>
    <w:rsid w:val="009B6C30"/>
    <w:rsid w:val="009B6E43"/>
    <w:rsid w:val="009B79BA"/>
    <w:rsid w:val="009B7F36"/>
    <w:rsid w:val="009C077F"/>
    <w:rsid w:val="009C120D"/>
    <w:rsid w:val="009C1437"/>
    <w:rsid w:val="009C29D8"/>
    <w:rsid w:val="009C3E71"/>
    <w:rsid w:val="009C4D24"/>
    <w:rsid w:val="009C6364"/>
    <w:rsid w:val="009C65A0"/>
    <w:rsid w:val="009D3376"/>
    <w:rsid w:val="009D57C9"/>
    <w:rsid w:val="009D78E5"/>
    <w:rsid w:val="009D7E8A"/>
    <w:rsid w:val="009E2EC6"/>
    <w:rsid w:val="009E422B"/>
    <w:rsid w:val="009E4DD5"/>
    <w:rsid w:val="009E4F03"/>
    <w:rsid w:val="009E541A"/>
    <w:rsid w:val="009E55A7"/>
    <w:rsid w:val="009E64DD"/>
    <w:rsid w:val="009E64F6"/>
    <w:rsid w:val="009E671D"/>
    <w:rsid w:val="009E7B45"/>
    <w:rsid w:val="009F023C"/>
    <w:rsid w:val="009F0909"/>
    <w:rsid w:val="009F0E94"/>
    <w:rsid w:val="009F3CC6"/>
    <w:rsid w:val="009F4DE2"/>
    <w:rsid w:val="009F64D0"/>
    <w:rsid w:val="009F66A3"/>
    <w:rsid w:val="009F70F8"/>
    <w:rsid w:val="009F76CE"/>
    <w:rsid w:val="009F78EB"/>
    <w:rsid w:val="00A02EBE"/>
    <w:rsid w:val="00A04DE3"/>
    <w:rsid w:val="00A0758B"/>
    <w:rsid w:val="00A078B8"/>
    <w:rsid w:val="00A11B8F"/>
    <w:rsid w:val="00A11EF2"/>
    <w:rsid w:val="00A11F35"/>
    <w:rsid w:val="00A12FB4"/>
    <w:rsid w:val="00A13CDF"/>
    <w:rsid w:val="00A1434E"/>
    <w:rsid w:val="00A17C6D"/>
    <w:rsid w:val="00A20A2B"/>
    <w:rsid w:val="00A2233B"/>
    <w:rsid w:val="00A23442"/>
    <w:rsid w:val="00A24B8B"/>
    <w:rsid w:val="00A26237"/>
    <w:rsid w:val="00A26335"/>
    <w:rsid w:val="00A26DB3"/>
    <w:rsid w:val="00A27A51"/>
    <w:rsid w:val="00A27EDA"/>
    <w:rsid w:val="00A27FCA"/>
    <w:rsid w:val="00A30AB4"/>
    <w:rsid w:val="00A30B10"/>
    <w:rsid w:val="00A31AD4"/>
    <w:rsid w:val="00A31DA6"/>
    <w:rsid w:val="00A329F6"/>
    <w:rsid w:val="00A32BE5"/>
    <w:rsid w:val="00A33DCB"/>
    <w:rsid w:val="00A343A0"/>
    <w:rsid w:val="00A343B8"/>
    <w:rsid w:val="00A358C9"/>
    <w:rsid w:val="00A36025"/>
    <w:rsid w:val="00A36D4B"/>
    <w:rsid w:val="00A43398"/>
    <w:rsid w:val="00A44934"/>
    <w:rsid w:val="00A4510B"/>
    <w:rsid w:val="00A46A0D"/>
    <w:rsid w:val="00A47CAA"/>
    <w:rsid w:val="00A50CD1"/>
    <w:rsid w:val="00A52EFE"/>
    <w:rsid w:val="00A53608"/>
    <w:rsid w:val="00A54172"/>
    <w:rsid w:val="00A55041"/>
    <w:rsid w:val="00A55909"/>
    <w:rsid w:val="00A56278"/>
    <w:rsid w:val="00A61094"/>
    <w:rsid w:val="00A61222"/>
    <w:rsid w:val="00A6126A"/>
    <w:rsid w:val="00A627A9"/>
    <w:rsid w:val="00A629E3"/>
    <w:rsid w:val="00A62BF5"/>
    <w:rsid w:val="00A62F9F"/>
    <w:rsid w:val="00A63A09"/>
    <w:rsid w:val="00A66481"/>
    <w:rsid w:val="00A67C7B"/>
    <w:rsid w:val="00A7039A"/>
    <w:rsid w:val="00A70A79"/>
    <w:rsid w:val="00A70C13"/>
    <w:rsid w:val="00A70C81"/>
    <w:rsid w:val="00A710BB"/>
    <w:rsid w:val="00A7307A"/>
    <w:rsid w:val="00A74655"/>
    <w:rsid w:val="00A76221"/>
    <w:rsid w:val="00A7650F"/>
    <w:rsid w:val="00A77D36"/>
    <w:rsid w:val="00A80EC7"/>
    <w:rsid w:val="00A823AF"/>
    <w:rsid w:val="00A8282D"/>
    <w:rsid w:val="00A83024"/>
    <w:rsid w:val="00A832C0"/>
    <w:rsid w:val="00A8371D"/>
    <w:rsid w:val="00A83FB1"/>
    <w:rsid w:val="00A849A4"/>
    <w:rsid w:val="00A86F74"/>
    <w:rsid w:val="00A901E6"/>
    <w:rsid w:val="00A903D2"/>
    <w:rsid w:val="00A9071E"/>
    <w:rsid w:val="00A909F4"/>
    <w:rsid w:val="00A911D9"/>
    <w:rsid w:val="00A941BC"/>
    <w:rsid w:val="00A94E85"/>
    <w:rsid w:val="00A96062"/>
    <w:rsid w:val="00A962EF"/>
    <w:rsid w:val="00A967E3"/>
    <w:rsid w:val="00A97A74"/>
    <w:rsid w:val="00AA0AE5"/>
    <w:rsid w:val="00AA0E2A"/>
    <w:rsid w:val="00AA16B6"/>
    <w:rsid w:val="00AA1D71"/>
    <w:rsid w:val="00AA25C4"/>
    <w:rsid w:val="00AA2FE4"/>
    <w:rsid w:val="00AA324F"/>
    <w:rsid w:val="00AA334E"/>
    <w:rsid w:val="00AA34B3"/>
    <w:rsid w:val="00AA3BF6"/>
    <w:rsid w:val="00AA465C"/>
    <w:rsid w:val="00AA6AA7"/>
    <w:rsid w:val="00AB3617"/>
    <w:rsid w:val="00AB3E14"/>
    <w:rsid w:val="00AB590F"/>
    <w:rsid w:val="00AB6E44"/>
    <w:rsid w:val="00AB71E7"/>
    <w:rsid w:val="00AC0DBB"/>
    <w:rsid w:val="00AC1A1F"/>
    <w:rsid w:val="00AC1F6C"/>
    <w:rsid w:val="00AC2E24"/>
    <w:rsid w:val="00AC4031"/>
    <w:rsid w:val="00AC4C72"/>
    <w:rsid w:val="00AC53A7"/>
    <w:rsid w:val="00AC6489"/>
    <w:rsid w:val="00AC697B"/>
    <w:rsid w:val="00AD0E86"/>
    <w:rsid w:val="00AD1928"/>
    <w:rsid w:val="00AD2116"/>
    <w:rsid w:val="00AD246C"/>
    <w:rsid w:val="00AD44E7"/>
    <w:rsid w:val="00AD46B9"/>
    <w:rsid w:val="00AD5634"/>
    <w:rsid w:val="00AD60EA"/>
    <w:rsid w:val="00AD7C25"/>
    <w:rsid w:val="00AE07CA"/>
    <w:rsid w:val="00AE0C85"/>
    <w:rsid w:val="00AE2F94"/>
    <w:rsid w:val="00AE3983"/>
    <w:rsid w:val="00AE3ECF"/>
    <w:rsid w:val="00AE5DCF"/>
    <w:rsid w:val="00AE73F2"/>
    <w:rsid w:val="00AE75EB"/>
    <w:rsid w:val="00AF0059"/>
    <w:rsid w:val="00AF2AC3"/>
    <w:rsid w:val="00AF37E1"/>
    <w:rsid w:val="00AF3A22"/>
    <w:rsid w:val="00AF42C9"/>
    <w:rsid w:val="00AF546D"/>
    <w:rsid w:val="00AF6162"/>
    <w:rsid w:val="00B01EFE"/>
    <w:rsid w:val="00B02222"/>
    <w:rsid w:val="00B025DA"/>
    <w:rsid w:val="00B03BC8"/>
    <w:rsid w:val="00B0534F"/>
    <w:rsid w:val="00B0596E"/>
    <w:rsid w:val="00B06636"/>
    <w:rsid w:val="00B06BC8"/>
    <w:rsid w:val="00B06C7B"/>
    <w:rsid w:val="00B06FF8"/>
    <w:rsid w:val="00B07124"/>
    <w:rsid w:val="00B07294"/>
    <w:rsid w:val="00B07C46"/>
    <w:rsid w:val="00B103A0"/>
    <w:rsid w:val="00B1141D"/>
    <w:rsid w:val="00B11968"/>
    <w:rsid w:val="00B12A59"/>
    <w:rsid w:val="00B12FA6"/>
    <w:rsid w:val="00B13AF5"/>
    <w:rsid w:val="00B17E35"/>
    <w:rsid w:val="00B17F02"/>
    <w:rsid w:val="00B20C0A"/>
    <w:rsid w:val="00B2242B"/>
    <w:rsid w:val="00B22CF0"/>
    <w:rsid w:val="00B22D4C"/>
    <w:rsid w:val="00B2514D"/>
    <w:rsid w:val="00B268BF"/>
    <w:rsid w:val="00B26A3D"/>
    <w:rsid w:val="00B30650"/>
    <w:rsid w:val="00B3205C"/>
    <w:rsid w:val="00B33A2A"/>
    <w:rsid w:val="00B33ACB"/>
    <w:rsid w:val="00B3569E"/>
    <w:rsid w:val="00B35956"/>
    <w:rsid w:val="00B4014B"/>
    <w:rsid w:val="00B40734"/>
    <w:rsid w:val="00B42BF6"/>
    <w:rsid w:val="00B434D4"/>
    <w:rsid w:val="00B46A42"/>
    <w:rsid w:val="00B4710D"/>
    <w:rsid w:val="00B4755C"/>
    <w:rsid w:val="00B5179A"/>
    <w:rsid w:val="00B5186E"/>
    <w:rsid w:val="00B52307"/>
    <w:rsid w:val="00B52933"/>
    <w:rsid w:val="00B532E3"/>
    <w:rsid w:val="00B53595"/>
    <w:rsid w:val="00B53781"/>
    <w:rsid w:val="00B55346"/>
    <w:rsid w:val="00B558A3"/>
    <w:rsid w:val="00B60F9C"/>
    <w:rsid w:val="00B625A1"/>
    <w:rsid w:val="00B632A3"/>
    <w:rsid w:val="00B64088"/>
    <w:rsid w:val="00B6412B"/>
    <w:rsid w:val="00B64209"/>
    <w:rsid w:val="00B65194"/>
    <w:rsid w:val="00B65776"/>
    <w:rsid w:val="00B662C0"/>
    <w:rsid w:val="00B70349"/>
    <w:rsid w:val="00B7090B"/>
    <w:rsid w:val="00B70F01"/>
    <w:rsid w:val="00B71018"/>
    <w:rsid w:val="00B7311B"/>
    <w:rsid w:val="00B744CD"/>
    <w:rsid w:val="00B806DC"/>
    <w:rsid w:val="00B8200A"/>
    <w:rsid w:val="00B83DCD"/>
    <w:rsid w:val="00B85A30"/>
    <w:rsid w:val="00B85C94"/>
    <w:rsid w:val="00B861ED"/>
    <w:rsid w:val="00B867B1"/>
    <w:rsid w:val="00B86C45"/>
    <w:rsid w:val="00B87B5D"/>
    <w:rsid w:val="00B87D3E"/>
    <w:rsid w:val="00B90277"/>
    <w:rsid w:val="00B90885"/>
    <w:rsid w:val="00B908C2"/>
    <w:rsid w:val="00B91BAD"/>
    <w:rsid w:val="00B92D03"/>
    <w:rsid w:val="00B93EFB"/>
    <w:rsid w:val="00BA0DB5"/>
    <w:rsid w:val="00BA13FD"/>
    <w:rsid w:val="00BA379F"/>
    <w:rsid w:val="00BA4025"/>
    <w:rsid w:val="00BA63E4"/>
    <w:rsid w:val="00BA6BA0"/>
    <w:rsid w:val="00BA7E3E"/>
    <w:rsid w:val="00BB02AA"/>
    <w:rsid w:val="00BB0E5C"/>
    <w:rsid w:val="00BB1B09"/>
    <w:rsid w:val="00BB30A1"/>
    <w:rsid w:val="00BB3408"/>
    <w:rsid w:val="00BB4891"/>
    <w:rsid w:val="00BB5576"/>
    <w:rsid w:val="00BB5B60"/>
    <w:rsid w:val="00BB6C0B"/>
    <w:rsid w:val="00BB75E4"/>
    <w:rsid w:val="00BC0CE5"/>
    <w:rsid w:val="00BC2BE9"/>
    <w:rsid w:val="00BC717C"/>
    <w:rsid w:val="00BC72FA"/>
    <w:rsid w:val="00BC7C31"/>
    <w:rsid w:val="00BD18E7"/>
    <w:rsid w:val="00BD1AC6"/>
    <w:rsid w:val="00BD4A7D"/>
    <w:rsid w:val="00BD4D7D"/>
    <w:rsid w:val="00BD4FB9"/>
    <w:rsid w:val="00BD5393"/>
    <w:rsid w:val="00BD79C7"/>
    <w:rsid w:val="00BD7B0F"/>
    <w:rsid w:val="00BE2B0D"/>
    <w:rsid w:val="00BE58DC"/>
    <w:rsid w:val="00BF03A4"/>
    <w:rsid w:val="00BF0BE8"/>
    <w:rsid w:val="00BF0D33"/>
    <w:rsid w:val="00BF1093"/>
    <w:rsid w:val="00BF1B98"/>
    <w:rsid w:val="00BF1C48"/>
    <w:rsid w:val="00BF2CA0"/>
    <w:rsid w:val="00BF5152"/>
    <w:rsid w:val="00BF590E"/>
    <w:rsid w:val="00BF5BC0"/>
    <w:rsid w:val="00BF6A3F"/>
    <w:rsid w:val="00BF6F09"/>
    <w:rsid w:val="00BF795D"/>
    <w:rsid w:val="00BF7A65"/>
    <w:rsid w:val="00BF7C4D"/>
    <w:rsid w:val="00C01085"/>
    <w:rsid w:val="00C01857"/>
    <w:rsid w:val="00C01AE1"/>
    <w:rsid w:val="00C03393"/>
    <w:rsid w:val="00C04E96"/>
    <w:rsid w:val="00C1199A"/>
    <w:rsid w:val="00C11E77"/>
    <w:rsid w:val="00C128C8"/>
    <w:rsid w:val="00C138F5"/>
    <w:rsid w:val="00C13E5D"/>
    <w:rsid w:val="00C14837"/>
    <w:rsid w:val="00C17ACD"/>
    <w:rsid w:val="00C17FA4"/>
    <w:rsid w:val="00C2328E"/>
    <w:rsid w:val="00C25681"/>
    <w:rsid w:val="00C258A1"/>
    <w:rsid w:val="00C26915"/>
    <w:rsid w:val="00C27B1A"/>
    <w:rsid w:val="00C35AC8"/>
    <w:rsid w:val="00C36D85"/>
    <w:rsid w:val="00C36DFA"/>
    <w:rsid w:val="00C3706C"/>
    <w:rsid w:val="00C37337"/>
    <w:rsid w:val="00C37589"/>
    <w:rsid w:val="00C4068C"/>
    <w:rsid w:val="00C41020"/>
    <w:rsid w:val="00C41CC6"/>
    <w:rsid w:val="00C41D05"/>
    <w:rsid w:val="00C442B2"/>
    <w:rsid w:val="00C447E6"/>
    <w:rsid w:val="00C44B58"/>
    <w:rsid w:val="00C44E3F"/>
    <w:rsid w:val="00C46993"/>
    <w:rsid w:val="00C46E16"/>
    <w:rsid w:val="00C508F6"/>
    <w:rsid w:val="00C50CFC"/>
    <w:rsid w:val="00C51F1E"/>
    <w:rsid w:val="00C5236D"/>
    <w:rsid w:val="00C536FE"/>
    <w:rsid w:val="00C5457A"/>
    <w:rsid w:val="00C5686C"/>
    <w:rsid w:val="00C56AE7"/>
    <w:rsid w:val="00C609F8"/>
    <w:rsid w:val="00C61DF5"/>
    <w:rsid w:val="00C61EF4"/>
    <w:rsid w:val="00C62915"/>
    <w:rsid w:val="00C6425F"/>
    <w:rsid w:val="00C6456F"/>
    <w:rsid w:val="00C64619"/>
    <w:rsid w:val="00C64875"/>
    <w:rsid w:val="00C6492E"/>
    <w:rsid w:val="00C64ADD"/>
    <w:rsid w:val="00C64E17"/>
    <w:rsid w:val="00C6708C"/>
    <w:rsid w:val="00C67A7D"/>
    <w:rsid w:val="00C7160D"/>
    <w:rsid w:val="00C72C7B"/>
    <w:rsid w:val="00C73250"/>
    <w:rsid w:val="00C7357E"/>
    <w:rsid w:val="00C73CF2"/>
    <w:rsid w:val="00C73EE8"/>
    <w:rsid w:val="00C7509E"/>
    <w:rsid w:val="00C75210"/>
    <w:rsid w:val="00C75B2A"/>
    <w:rsid w:val="00C76306"/>
    <w:rsid w:val="00C77DE3"/>
    <w:rsid w:val="00C80260"/>
    <w:rsid w:val="00C82090"/>
    <w:rsid w:val="00C850BA"/>
    <w:rsid w:val="00C852B4"/>
    <w:rsid w:val="00C859B4"/>
    <w:rsid w:val="00C87D46"/>
    <w:rsid w:val="00C91208"/>
    <w:rsid w:val="00C91617"/>
    <w:rsid w:val="00C91E48"/>
    <w:rsid w:val="00C9683B"/>
    <w:rsid w:val="00C9697C"/>
    <w:rsid w:val="00CA097C"/>
    <w:rsid w:val="00CA1956"/>
    <w:rsid w:val="00CA1AA6"/>
    <w:rsid w:val="00CA25A3"/>
    <w:rsid w:val="00CA4909"/>
    <w:rsid w:val="00CA5920"/>
    <w:rsid w:val="00CA650C"/>
    <w:rsid w:val="00CA7546"/>
    <w:rsid w:val="00CB0A34"/>
    <w:rsid w:val="00CB1936"/>
    <w:rsid w:val="00CB2E45"/>
    <w:rsid w:val="00CB2EE8"/>
    <w:rsid w:val="00CB47A3"/>
    <w:rsid w:val="00CB4B04"/>
    <w:rsid w:val="00CB4B78"/>
    <w:rsid w:val="00CB57A0"/>
    <w:rsid w:val="00CC1502"/>
    <w:rsid w:val="00CC1B37"/>
    <w:rsid w:val="00CC3505"/>
    <w:rsid w:val="00CC528E"/>
    <w:rsid w:val="00CC5A46"/>
    <w:rsid w:val="00CC6C81"/>
    <w:rsid w:val="00CC773A"/>
    <w:rsid w:val="00CC7882"/>
    <w:rsid w:val="00CD0E86"/>
    <w:rsid w:val="00CD1A11"/>
    <w:rsid w:val="00CD2019"/>
    <w:rsid w:val="00CD2A3F"/>
    <w:rsid w:val="00CD3028"/>
    <w:rsid w:val="00CD396D"/>
    <w:rsid w:val="00CD52C5"/>
    <w:rsid w:val="00CD7CFC"/>
    <w:rsid w:val="00CE18B0"/>
    <w:rsid w:val="00CE3609"/>
    <w:rsid w:val="00CE3648"/>
    <w:rsid w:val="00CE42BB"/>
    <w:rsid w:val="00CE5E55"/>
    <w:rsid w:val="00CE5E66"/>
    <w:rsid w:val="00CE6BE1"/>
    <w:rsid w:val="00CE6D94"/>
    <w:rsid w:val="00CE6F5B"/>
    <w:rsid w:val="00CF01D6"/>
    <w:rsid w:val="00CF03B0"/>
    <w:rsid w:val="00CF044D"/>
    <w:rsid w:val="00CF15DE"/>
    <w:rsid w:val="00CF2BC2"/>
    <w:rsid w:val="00CF4A3D"/>
    <w:rsid w:val="00CF5A79"/>
    <w:rsid w:val="00CF617C"/>
    <w:rsid w:val="00CF74E2"/>
    <w:rsid w:val="00CF7FBE"/>
    <w:rsid w:val="00D03913"/>
    <w:rsid w:val="00D04281"/>
    <w:rsid w:val="00D05E3F"/>
    <w:rsid w:val="00D0696A"/>
    <w:rsid w:val="00D07ABA"/>
    <w:rsid w:val="00D126B8"/>
    <w:rsid w:val="00D134B7"/>
    <w:rsid w:val="00D13EB7"/>
    <w:rsid w:val="00D145F9"/>
    <w:rsid w:val="00D14C92"/>
    <w:rsid w:val="00D1647D"/>
    <w:rsid w:val="00D17018"/>
    <w:rsid w:val="00D20E64"/>
    <w:rsid w:val="00D20F45"/>
    <w:rsid w:val="00D21BD9"/>
    <w:rsid w:val="00D23A4F"/>
    <w:rsid w:val="00D257C3"/>
    <w:rsid w:val="00D2599C"/>
    <w:rsid w:val="00D25DAA"/>
    <w:rsid w:val="00D30579"/>
    <w:rsid w:val="00D30B08"/>
    <w:rsid w:val="00D31511"/>
    <w:rsid w:val="00D31B88"/>
    <w:rsid w:val="00D352A0"/>
    <w:rsid w:val="00D35B6B"/>
    <w:rsid w:val="00D40760"/>
    <w:rsid w:val="00D41CA1"/>
    <w:rsid w:val="00D426E5"/>
    <w:rsid w:val="00D42E0B"/>
    <w:rsid w:val="00D45ACD"/>
    <w:rsid w:val="00D508DA"/>
    <w:rsid w:val="00D50A94"/>
    <w:rsid w:val="00D51D39"/>
    <w:rsid w:val="00D51D61"/>
    <w:rsid w:val="00D52F1B"/>
    <w:rsid w:val="00D5379C"/>
    <w:rsid w:val="00D53A97"/>
    <w:rsid w:val="00D54D94"/>
    <w:rsid w:val="00D6198E"/>
    <w:rsid w:val="00D64BE0"/>
    <w:rsid w:val="00D64D32"/>
    <w:rsid w:val="00D650C8"/>
    <w:rsid w:val="00D660D5"/>
    <w:rsid w:val="00D71469"/>
    <w:rsid w:val="00D71999"/>
    <w:rsid w:val="00D71E3E"/>
    <w:rsid w:val="00D74329"/>
    <w:rsid w:val="00D76160"/>
    <w:rsid w:val="00D76C74"/>
    <w:rsid w:val="00D76E36"/>
    <w:rsid w:val="00D807C3"/>
    <w:rsid w:val="00D81A8F"/>
    <w:rsid w:val="00D81FC6"/>
    <w:rsid w:val="00D82640"/>
    <w:rsid w:val="00D8329A"/>
    <w:rsid w:val="00D84C89"/>
    <w:rsid w:val="00D856B2"/>
    <w:rsid w:val="00D85980"/>
    <w:rsid w:val="00D86B00"/>
    <w:rsid w:val="00D91BB6"/>
    <w:rsid w:val="00D92601"/>
    <w:rsid w:val="00D92A22"/>
    <w:rsid w:val="00D940CB"/>
    <w:rsid w:val="00D95BEB"/>
    <w:rsid w:val="00D96569"/>
    <w:rsid w:val="00D96669"/>
    <w:rsid w:val="00DA0C3B"/>
    <w:rsid w:val="00DA1BB2"/>
    <w:rsid w:val="00DA3297"/>
    <w:rsid w:val="00DA36DF"/>
    <w:rsid w:val="00DA63C3"/>
    <w:rsid w:val="00DB0898"/>
    <w:rsid w:val="00DB1439"/>
    <w:rsid w:val="00DB18C8"/>
    <w:rsid w:val="00DB1DB0"/>
    <w:rsid w:val="00DB24B6"/>
    <w:rsid w:val="00DB3CEB"/>
    <w:rsid w:val="00DB4044"/>
    <w:rsid w:val="00DB4E19"/>
    <w:rsid w:val="00DB4FD6"/>
    <w:rsid w:val="00DB5552"/>
    <w:rsid w:val="00DB7020"/>
    <w:rsid w:val="00DB70BF"/>
    <w:rsid w:val="00DC0C49"/>
    <w:rsid w:val="00DC261A"/>
    <w:rsid w:val="00DC3DC5"/>
    <w:rsid w:val="00DC4328"/>
    <w:rsid w:val="00DC4E0E"/>
    <w:rsid w:val="00DC5893"/>
    <w:rsid w:val="00DC5948"/>
    <w:rsid w:val="00DD095E"/>
    <w:rsid w:val="00DD1C0F"/>
    <w:rsid w:val="00DD29FF"/>
    <w:rsid w:val="00DD3B3F"/>
    <w:rsid w:val="00DD5728"/>
    <w:rsid w:val="00DD5A5F"/>
    <w:rsid w:val="00DD5E8E"/>
    <w:rsid w:val="00DE0BCD"/>
    <w:rsid w:val="00DE15C2"/>
    <w:rsid w:val="00DE1D2D"/>
    <w:rsid w:val="00DE1FC2"/>
    <w:rsid w:val="00DE2DF3"/>
    <w:rsid w:val="00DE35ED"/>
    <w:rsid w:val="00DE4C92"/>
    <w:rsid w:val="00DE747C"/>
    <w:rsid w:val="00DE7BE9"/>
    <w:rsid w:val="00DE7C42"/>
    <w:rsid w:val="00DF2091"/>
    <w:rsid w:val="00DF2B8B"/>
    <w:rsid w:val="00DF2E05"/>
    <w:rsid w:val="00DF318E"/>
    <w:rsid w:val="00DF3CD6"/>
    <w:rsid w:val="00DF505F"/>
    <w:rsid w:val="00DF6324"/>
    <w:rsid w:val="00DF6B72"/>
    <w:rsid w:val="00E00C0D"/>
    <w:rsid w:val="00E0208D"/>
    <w:rsid w:val="00E02982"/>
    <w:rsid w:val="00E038E6"/>
    <w:rsid w:val="00E04EF6"/>
    <w:rsid w:val="00E053E0"/>
    <w:rsid w:val="00E05AC4"/>
    <w:rsid w:val="00E05E02"/>
    <w:rsid w:val="00E06427"/>
    <w:rsid w:val="00E06B9E"/>
    <w:rsid w:val="00E07E09"/>
    <w:rsid w:val="00E07E44"/>
    <w:rsid w:val="00E10865"/>
    <w:rsid w:val="00E10CF2"/>
    <w:rsid w:val="00E12875"/>
    <w:rsid w:val="00E14FE1"/>
    <w:rsid w:val="00E151E8"/>
    <w:rsid w:val="00E15B17"/>
    <w:rsid w:val="00E15BC7"/>
    <w:rsid w:val="00E163A1"/>
    <w:rsid w:val="00E1651C"/>
    <w:rsid w:val="00E2260B"/>
    <w:rsid w:val="00E232C4"/>
    <w:rsid w:val="00E243D1"/>
    <w:rsid w:val="00E24875"/>
    <w:rsid w:val="00E2552B"/>
    <w:rsid w:val="00E25925"/>
    <w:rsid w:val="00E267F5"/>
    <w:rsid w:val="00E27942"/>
    <w:rsid w:val="00E31117"/>
    <w:rsid w:val="00E32CF1"/>
    <w:rsid w:val="00E3458E"/>
    <w:rsid w:val="00E35BB9"/>
    <w:rsid w:val="00E40FC4"/>
    <w:rsid w:val="00E41211"/>
    <w:rsid w:val="00E42A75"/>
    <w:rsid w:val="00E42BD0"/>
    <w:rsid w:val="00E44122"/>
    <w:rsid w:val="00E44E2C"/>
    <w:rsid w:val="00E45837"/>
    <w:rsid w:val="00E45C3D"/>
    <w:rsid w:val="00E46738"/>
    <w:rsid w:val="00E50587"/>
    <w:rsid w:val="00E50A95"/>
    <w:rsid w:val="00E51071"/>
    <w:rsid w:val="00E510A4"/>
    <w:rsid w:val="00E53DA8"/>
    <w:rsid w:val="00E5437E"/>
    <w:rsid w:val="00E5464E"/>
    <w:rsid w:val="00E54AD2"/>
    <w:rsid w:val="00E55648"/>
    <w:rsid w:val="00E578D4"/>
    <w:rsid w:val="00E61B44"/>
    <w:rsid w:val="00E62B1D"/>
    <w:rsid w:val="00E63287"/>
    <w:rsid w:val="00E63634"/>
    <w:rsid w:val="00E6458E"/>
    <w:rsid w:val="00E64613"/>
    <w:rsid w:val="00E65DD1"/>
    <w:rsid w:val="00E66432"/>
    <w:rsid w:val="00E675AD"/>
    <w:rsid w:val="00E70270"/>
    <w:rsid w:val="00E70513"/>
    <w:rsid w:val="00E70DEB"/>
    <w:rsid w:val="00E73290"/>
    <w:rsid w:val="00E732A5"/>
    <w:rsid w:val="00E75E99"/>
    <w:rsid w:val="00E76540"/>
    <w:rsid w:val="00E77FCD"/>
    <w:rsid w:val="00E80092"/>
    <w:rsid w:val="00E8141C"/>
    <w:rsid w:val="00E85642"/>
    <w:rsid w:val="00E85A5B"/>
    <w:rsid w:val="00E86445"/>
    <w:rsid w:val="00E8691D"/>
    <w:rsid w:val="00E86D97"/>
    <w:rsid w:val="00E90B65"/>
    <w:rsid w:val="00E926E0"/>
    <w:rsid w:val="00E9384B"/>
    <w:rsid w:val="00E9447E"/>
    <w:rsid w:val="00E94B0A"/>
    <w:rsid w:val="00E9794C"/>
    <w:rsid w:val="00EA1365"/>
    <w:rsid w:val="00EA1B8F"/>
    <w:rsid w:val="00EA1F60"/>
    <w:rsid w:val="00EA1F94"/>
    <w:rsid w:val="00EA3529"/>
    <w:rsid w:val="00EA35D5"/>
    <w:rsid w:val="00EA4061"/>
    <w:rsid w:val="00EA44D3"/>
    <w:rsid w:val="00EA4863"/>
    <w:rsid w:val="00EA4A15"/>
    <w:rsid w:val="00EA4CC1"/>
    <w:rsid w:val="00EA5F76"/>
    <w:rsid w:val="00EA6F5A"/>
    <w:rsid w:val="00EA7784"/>
    <w:rsid w:val="00EB0409"/>
    <w:rsid w:val="00EB3B5E"/>
    <w:rsid w:val="00EB3BE0"/>
    <w:rsid w:val="00EB430C"/>
    <w:rsid w:val="00EB4DC3"/>
    <w:rsid w:val="00EB5156"/>
    <w:rsid w:val="00EB6DD0"/>
    <w:rsid w:val="00EB7737"/>
    <w:rsid w:val="00EC223B"/>
    <w:rsid w:val="00EC339F"/>
    <w:rsid w:val="00EC33BF"/>
    <w:rsid w:val="00EC4E51"/>
    <w:rsid w:val="00ED14D4"/>
    <w:rsid w:val="00ED5895"/>
    <w:rsid w:val="00ED5AD3"/>
    <w:rsid w:val="00ED61F2"/>
    <w:rsid w:val="00EE2F5D"/>
    <w:rsid w:val="00EE4031"/>
    <w:rsid w:val="00EE4861"/>
    <w:rsid w:val="00EE5C5E"/>
    <w:rsid w:val="00EE6086"/>
    <w:rsid w:val="00EE6315"/>
    <w:rsid w:val="00EF053C"/>
    <w:rsid w:val="00EF13B7"/>
    <w:rsid w:val="00EF31A0"/>
    <w:rsid w:val="00EF68F4"/>
    <w:rsid w:val="00F0038C"/>
    <w:rsid w:val="00F01204"/>
    <w:rsid w:val="00F036BD"/>
    <w:rsid w:val="00F03D95"/>
    <w:rsid w:val="00F04C96"/>
    <w:rsid w:val="00F056B9"/>
    <w:rsid w:val="00F05C02"/>
    <w:rsid w:val="00F071E3"/>
    <w:rsid w:val="00F113AA"/>
    <w:rsid w:val="00F13770"/>
    <w:rsid w:val="00F14866"/>
    <w:rsid w:val="00F14A8C"/>
    <w:rsid w:val="00F14CFE"/>
    <w:rsid w:val="00F153DA"/>
    <w:rsid w:val="00F15B07"/>
    <w:rsid w:val="00F1693C"/>
    <w:rsid w:val="00F17242"/>
    <w:rsid w:val="00F2179C"/>
    <w:rsid w:val="00F23198"/>
    <w:rsid w:val="00F235A4"/>
    <w:rsid w:val="00F2528D"/>
    <w:rsid w:val="00F26716"/>
    <w:rsid w:val="00F27EE2"/>
    <w:rsid w:val="00F31475"/>
    <w:rsid w:val="00F31B4A"/>
    <w:rsid w:val="00F32C98"/>
    <w:rsid w:val="00F3359D"/>
    <w:rsid w:val="00F336B2"/>
    <w:rsid w:val="00F33B4F"/>
    <w:rsid w:val="00F36556"/>
    <w:rsid w:val="00F36E22"/>
    <w:rsid w:val="00F37DF2"/>
    <w:rsid w:val="00F41ECF"/>
    <w:rsid w:val="00F42B8B"/>
    <w:rsid w:val="00F44AE3"/>
    <w:rsid w:val="00F46022"/>
    <w:rsid w:val="00F46232"/>
    <w:rsid w:val="00F47FF5"/>
    <w:rsid w:val="00F530C1"/>
    <w:rsid w:val="00F5527C"/>
    <w:rsid w:val="00F56372"/>
    <w:rsid w:val="00F57033"/>
    <w:rsid w:val="00F60E66"/>
    <w:rsid w:val="00F61470"/>
    <w:rsid w:val="00F616EC"/>
    <w:rsid w:val="00F63AD0"/>
    <w:rsid w:val="00F659CE"/>
    <w:rsid w:val="00F66F31"/>
    <w:rsid w:val="00F673CF"/>
    <w:rsid w:val="00F70775"/>
    <w:rsid w:val="00F71588"/>
    <w:rsid w:val="00F7268F"/>
    <w:rsid w:val="00F767F5"/>
    <w:rsid w:val="00F8209F"/>
    <w:rsid w:val="00F82F41"/>
    <w:rsid w:val="00F83440"/>
    <w:rsid w:val="00F839A9"/>
    <w:rsid w:val="00F8402E"/>
    <w:rsid w:val="00F84CE1"/>
    <w:rsid w:val="00F84CF0"/>
    <w:rsid w:val="00F84F89"/>
    <w:rsid w:val="00F852E5"/>
    <w:rsid w:val="00F854EE"/>
    <w:rsid w:val="00F85FD1"/>
    <w:rsid w:val="00F86718"/>
    <w:rsid w:val="00F87E22"/>
    <w:rsid w:val="00F90398"/>
    <w:rsid w:val="00F90BA3"/>
    <w:rsid w:val="00F91771"/>
    <w:rsid w:val="00F91DAE"/>
    <w:rsid w:val="00F946B1"/>
    <w:rsid w:val="00F96359"/>
    <w:rsid w:val="00F965AC"/>
    <w:rsid w:val="00F97DDC"/>
    <w:rsid w:val="00FA5427"/>
    <w:rsid w:val="00FA684C"/>
    <w:rsid w:val="00FA6BA3"/>
    <w:rsid w:val="00FB00BF"/>
    <w:rsid w:val="00FB0AD1"/>
    <w:rsid w:val="00FB2F99"/>
    <w:rsid w:val="00FB325E"/>
    <w:rsid w:val="00FB4BC3"/>
    <w:rsid w:val="00FB66E6"/>
    <w:rsid w:val="00FC0290"/>
    <w:rsid w:val="00FC073A"/>
    <w:rsid w:val="00FC12D7"/>
    <w:rsid w:val="00FC17A9"/>
    <w:rsid w:val="00FC1C6D"/>
    <w:rsid w:val="00FC1D1F"/>
    <w:rsid w:val="00FC2670"/>
    <w:rsid w:val="00FC5325"/>
    <w:rsid w:val="00FC5E64"/>
    <w:rsid w:val="00FC6532"/>
    <w:rsid w:val="00FD00C9"/>
    <w:rsid w:val="00FD0387"/>
    <w:rsid w:val="00FD0D42"/>
    <w:rsid w:val="00FD113C"/>
    <w:rsid w:val="00FD13BB"/>
    <w:rsid w:val="00FD147B"/>
    <w:rsid w:val="00FD17A6"/>
    <w:rsid w:val="00FD29C0"/>
    <w:rsid w:val="00FD3155"/>
    <w:rsid w:val="00FD3B27"/>
    <w:rsid w:val="00FD3D69"/>
    <w:rsid w:val="00FD43F8"/>
    <w:rsid w:val="00FD5EDD"/>
    <w:rsid w:val="00FD68C6"/>
    <w:rsid w:val="00FD7C60"/>
    <w:rsid w:val="00FD7DD6"/>
    <w:rsid w:val="00FE0EFA"/>
    <w:rsid w:val="00FE15C0"/>
    <w:rsid w:val="00FE279C"/>
    <w:rsid w:val="00FE3BEB"/>
    <w:rsid w:val="00FE3DBD"/>
    <w:rsid w:val="00FE6662"/>
    <w:rsid w:val="00FE6F56"/>
    <w:rsid w:val="00FF08F6"/>
    <w:rsid w:val="00FF1197"/>
    <w:rsid w:val="00FF11FB"/>
    <w:rsid w:val="00FF1495"/>
    <w:rsid w:val="00FF178F"/>
    <w:rsid w:val="00FF263F"/>
    <w:rsid w:val="00FF2D2B"/>
    <w:rsid w:val="00FF3C3E"/>
    <w:rsid w:val="00FF5704"/>
    <w:rsid w:val="016022B4"/>
    <w:rsid w:val="017C011F"/>
    <w:rsid w:val="01B3161D"/>
    <w:rsid w:val="01B719E4"/>
    <w:rsid w:val="01EB5915"/>
    <w:rsid w:val="02182ED7"/>
    <w:rsid w:val="025D4D8E"/>
    <w:rsid w:val="02B45DAD"/>
    <w:rsid w:val="02B54D22"/>
    <w:rsid w:val="02DD5FF0"/>
    <w:rsid w:val="02EB2811"/>
    <w:rsid w:val="03851F80"/>
    <w:rsid w:val="043843A1"/>
    <w:rsid w:val="044C50BA"/>
    <w:rsid w:val="04AA5E4E"/>
    <w:rsid w:val="04F82025"/>
    <w:rsid w:val="05312CB9"/>
    <w:rsid w:val="053F0F3C"/>
    <w:rsid w:val="067C20BB"/>
    <w:rsid w:val="06C80966"/>
    <w:rsid w:val="07351E35"/>
    <w:rsid w:val="07AA3675"/>
    <w:rsid w:val="085B5974"/>
    <w:rsid w:val="08693410"/>
    <w:rsid w:val="089745D6"/>
    <w:rsid w:val="08E84EF1"/>
    <w:rsid w:val="09412D13"/>
    <w:rsid w:val="0A8235E3"/>
    <w:rsid w:val="0ACF1886"/>
    <w:rsid w:val="0B4B60CB"/>
    <w:rsid w:val="0B7E6FD7"/>
    <w:rsid w:val="0B8E420A"/>
    <w:rsid w:val="0BC23F01"/>
    <w:rsid w:val="0BFB0BB8"/>
    <w:rsid w:val="0C4548C9"/>
    <w:rsid w:val="0C786F42"/>
    <w:rsid w:val="0D3306C3"/>
    <w:rsid w:val="0D532E09"/>
    <w:rsid w:val="0D990662"/>
    <w:rsid w:val="0EA855E3"/>
    <w:rsid w:val="0F3E7ED6"/>
    <w:rsid w:val="0F5F3AAE"/>
    <w:rsid w:val="0FB56CEA"/>
    <w:rsid w:val="0FCD4501"/>
    <w:rsid w:val="101C0036"/>
    <w:rsid w:val="10270182"/>
    <w:rsid w:val="1045349C"/>
    <w:rsid w:val="10964F66"/>
    <w:rsid w:val="11811920"/>
    <w:rsid w:val="118D7F73"/>
    <w:rsid w:val="11EE5E19"/>
    <w:rsid w:val="1203041E"/>
    <w:rsid w:val="12323B41"/>
    <w:rsid w:val="12363F6F"/>
    <w:rsid w:val="12601C36"/>
    <w:rsid w:val="128F01D6"/>
    <w:rsid w:val="130354DD"/>
    <w:rsid w:val="137C2A53"/>
    <w:rsid w:val="145412D3"/>
    <w:rsid w:val="1474109B"/>
    <w:rsid w:val="14BA74DA"/>
    <w:rsid w:val="152E66D7"/>
    <w:rsid w:val="15746553"/>
    <w:rsid w:val="15CF7F33"/>
    <w:rsid w:val="16322ABD"/>
    <w:rsid w:val="176435AF"/>
    <w:rsid w:val="179B3F36"/>
    <w:rsid w:val="17A55F44"/>
    <w:rsid w:val="18031D95"/>
    <w:rsid w:val="18226406"/>
    <w:rsid w:val="18480AED"/>
    <w:rsid w:val="18F56038"/>
    <w:rsid w:val="19812123"/>
    <w:rsid w:val="19AA4271"/>
    <w:rsid w:val="1A632C0C"/>
    <w:rsid w:val="1AA9178E"/>
    <w:rsid w:val="1BA60B00"/>
    <w:rsid w:val="1BB85CB8"/>
    <w:rsid w:val="1BC3390D"/>
    <w:rsid w:val="1BE4077B"/>
    <w:rsid w:val="1C83336F"/>
    <w:rsid w:val="1D302DD4"/>
    <w:rsid w:val="1D9A259A"/>
    <w:rsid w:val="1E426EBA"/>
    <w:rsid w:val="1F8D1B58"/>
    <w:rsid w:val="1FA43022"/>
    <w:rsid w:val="20C40840"/>
    <w:rsid w:val="210F3827"/>
    <w:rsid w:val="21C3522A"/>
    <w:rsid w:val="21FA1C76"/>
    <w:rsid w:val="22206440"/>
    <w:rsid w:val="22342CF6"/>
    <w:rsid w:val="227476F2"/>
    <w:rsid w:val="228B5F10"/>
    <w:rsid w:val="22C95DFC"/>
    <w:rsid w:val="22CF384A"/>
    <w:rsid w:val="241E2177"/>
    <w:rsid w:val="24523BCF"/>
    <w:rsid w:val="259F4BF2"/>
    <w:rsid w:val="26634398"/>
    <w:rsid w:val="26BD3642"/>
    <w:rsid w:val="26E946A3"/>
    <w:rsid w:val="276F67FC"/>
    <w:rsid w:val="295D07F2"/>
    <w:rsid w:val="296A5517"/>
    <w:rsid w:val="29F35717"/>
    <w:rsid w:val="2A3458EC"/>
    <w:rsid w:val="2AC670C5"/>
    <w:rsid w:val="2BE55033"/>
    <w:rsid w:val="2C1D0F66"/>
    <w:rsid w:val="2D972170"/>
    <w:rsid w:val="2DC47E61"/>
    <w:rsid w:val="2E2F35C9"/>
    <w:rsid w:val="2EFF4953"/>
    <w:rsid w:val="300A0D8D"/>
    <w:rsid w:val="30476B7D"/>
    <w:rsid w:val="31263B4A"/>
    <w:rsid w:val="3332427C"/>
    <w:rsid w:val="338E1A54"/>
    <w:rsid w:val="33A256C8"/>
    <w:rsid w:val="34A86C7B"/>
    <w:rsid w:val="3517619E"/>
    <w:rsid w:val="35DF3958"/>
    <w:rsid w:val="35E2272C"/>
    <w:rsid w:val="36887AF4"/>
    <w:rsid w:val="3784323A"/>
    <w:rsid w:val="38517759"/>
    <w:rsid w:val="3856040A"/>
    <w:rsid w:val="38F463A1"/>
    <w:rsid w:val="396D4258"/>
    <w:rsid w:val="39FE44D0"/>
    <w:rsid w:val="3B7C7282"/>
    <w:rsid w:val="3C7E77FF"/>
    <w:rsid w:val="3C956DB4"/>
    <w:rsid w:val="3CB60D47"/>
    <w:rsid w:val="3CF00B88"/>
    <w:rsid w:val="3D55126E"/>
    <w:rsid w:val="3D762284"/>
    <w:rsid w:val="3DF850D2"/>
    <w:rsid w:val="3E7B7FE0"/>
    <w:rsid w:val="3E997B5D"/>
    <w:rsid w:val="3EF7024F"/>
    <w:rsid w:val="3F190458"/>
    <w:rsid w:val="3F2860A7"/>
    <w:rsid w:val="3FD0375B"/>
    <w:rsid w:val="3FF25BE3"/>
    <w:rsid w:val="4001677D"/>
    <w:rsid w:val="403C6EEE"/>
    <w:rsid w:val="40503261"/>
    <w:rsid w:val="40524E9C"/>
    <w:rsid w:val="40624B66"/>
    <w:rsid w:val="40706E2B"/>
    <w:rsid w:val="411512B3"/>
    <w:rsid w:val="414F0E71"/>
    <w:rsid w:val="41710606"/>
    <w:rsid w:val="41B46ADA"/>
    <w:rsid w:val="41BA6182"/>
    <w:rsid w:val="42AD7F63"/>
    <w:rsid w:val="43273C06"/>
    <w:rsid w:val="436E7263"/>
    <w:rsid w:val="439F5CC5"/>
    <w:rsid w:val="43B703F2"/>
    <w:rsid w:val="43BC29BB"/>
    <w:rsid w:val="43CC2F6A"/>
    <w:rsid w:val="43DF4E23"/>
    <w:rsid w:val="451F1218"/>
    <w:rsid w:val="452A2CE6"/>
    <w:rsid w:val="45627AAD"/>
    <w:rsid w:val="457D012D"/>
    <w:rsid w:val="457E510C"/>
    <w:rsid w:val="45FD27A1"/>
    <w:rsid w:val="46664DA0"/>
    <w:rsid w:val="48666EBE"/>
    <w:rsid w:val="48841B50"/>
    <w:rsid w:val="48B54D35"/>
    <w:rsid w:val="4AC9433B"/>
    <w:rsid w:val="4B335C59"/>
    <w:rsid w:val="4BBD535F"/>
    <w:rsid w:val="4BD85A65"/>
    <w:rsid w:val="4C013C65"/>
    <w:rsid w:val="4C8156FE"/>
    <w:rsid w:val="4D2D5E7F"/>
    <w:rsid w:val="4DE329CA"/>
    <w:rsid w:val="51392C27"/>
    <w:rsid w:val="5180629F"/>
    <w:rsid w:val="5221410F"/>
    <w:rsid w:val="52A25FA4"/>
    <w:rsid w:val="52E0364E"/>
    <w:rsid w:val="530B7DEB"/>
    <w:rsid w:val="532B74AA"/>
    <w:rsid w:val="535C2DC0"/>
    <w:rsid w:val="538F59F6"/>
    <w:rsid w:val="543A0058"/>
    <w:rsid w:val="546E26C6"/>
    <w:rsid w:val="55097A7F"/>
    <w:rsid w:val="566A08F3"/>
    <w:rsid w:val="5698667B"/>
    <w:rsid w:val="56BC6B02"/>
    <w:rsid w:val="56E878F7"/>
    <w:rsid w:val="57215678"/>
    <w:rsid w:val="579A0CD0"/>
    <w:rsid w:val="57B13423"/>
    <w:rsid w:val="59782984"/>
    <w:rsid w:val="59F64346"/>
    <w:rsid w:val="5A07278A"/>
    <w:rsid w:val="5A3D61AC"/>
    <w:rsid w:val="5B1F380C"/>
    <w:rsid w:val="5B6836FC"/>
    <w:rsid w:val="5B883203"/>
    <w:rsid w:val="5C2E710D"/>
    <w:rsid w:val="5DB25F7C"/>
    <w:rsid w:val="5E3D2C0C"/>
    <w:rsid w:val="5E524C74"/>
    <w:rsid w:val="5E61684F"/>
    <w:rsid w:val="5F2D344D"/>
    <w:rsid w:val="5F68269D"/>
    <w:rsid w:val="60422DD1"/>
    <w:rsid w:val="60583D40"/>
    <w:rsid w:val="608E7761"/>
    <w:rsid w:val="60BB6E78"/>
    <w:rsid w:val="61D54CF3"/>
    <w:rsid w:val="63640B00"/>
    <w:rsid w:val="63F51C30"/>
    <w:rsid w:val="63F70003"/>
    <w:rsid w:val="63FA10AA"/>
    <w:rsid w:val="644236D4"/>
    <w:rsid w:val="646A0F46"/>
    <w:rsid w:val="648435DF"/>
    <w:rsid w:val="649B308B"/>
    <w:rsid w:val="65312694"/>
    <w:rsid w:val="65DC0B43"/>
    <w:rsid w:val="663B0CDB"/>
    <w:rsid w:val="66556A58"/>
    <w:rsid w:val="66FB505F"/>
    <w:rsid w:val="67B00433"/>
    <w:rsid w:val="67EA4B59"/>
    <w:rsid w:val="687F330A"/>
    <w:rsid w:val="6882447F"/>
    <w:rsid w:val="68874E63"/>
    <w:rsid w:val="69392062"/>
    <w:rsid w:val="69D46D59"/>
    <w:rsid w:val="6A082C8B"/>
    <w:rsid w:val="6A2E73C3"/>
    <w:rsid w:val="6B9132BE"/>
    <w:rsid w:val="6BFA7885"/>
    <w:rsid w:val="6E307DFF"/>
    <w:rsid w:val="6ED547AD"/>
    <w:rsid w:val="6F494779"/>
    <w:rsid w:val="6F5E6124"/>
    <w:rsid w:val="6F70246F"/>
    <w:rsid w:val="6F9577F8"/>
    <w:rsid w:val="6FD94BE5"/>
    <w:rsid w:val="70D0658A"/>
    <w:rsid w:val="716530FF"/>
    <w:rsid w:val="72917B3F"/>
    <w:rsid w:val="73451141"/>
    <w:rsid w:val="735842EF"/>
    <w:rsid w:val="73836ECE"/>
    <w:rsid w:val="73F1457A"/>
    <w:rsid w:val="74521887"/>
    <w:rsid w:val="74A12766"/>
    <w:rsid w:val="76077F4C"/>
    <w:rsid w:val="76452346"/>
    <w:rsid w:val="76C75323"/>
    <w:rsid w:val="76F705B1"/>
    <w:rsid w:val="780E734E"/>
    <w:rsid w:val="786E4382"/>
    <w:rsid w:val="78EF2A09"/>
    <w:rsid w:val="7A40506E"/>
    <w:rsid w:val="7BE002FC"/>
    <w:rsid w:val="7C1853B7"/>
    <w:rsid w:val="7D6E320A"/>
    <w:rsid w:val="7D871368"/>
    <w:rsid w:val="7E2272E3"/>
    <w:rsid w:val="7E816B6D"/>
    <w:rsid w:val="7EE73615"/>
    <w:rsid w:val="7F4103BA"/>
    <w:rsid w:val="7F897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27"/>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paragraph" w:styleId="5">
    <w:name w:val="heading 4"/>
    <w:basedOn w:val="1"/>
    <w:next w:val="1"/>
    <w:link w:val="2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rFonts w:asciiTheme="minorHAnsi" w:hAnsiTheme="minorHAnsi" w:eastAsiaTheme="minorEastAsia" w:cstheme="minorBidi"/>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8">
    <w:name w:val="Body Text"/>
    <w:basedOn w:val="1"/>
    <w:link w:val="98"/>
    <w:qFormat/>
    <w:uiPriority w:val="1"/>
    <w:pPr>
      <w:autoSpaceDE w:val="0"/>
      <w:autoSpaceDN w:val="0"/>
      <w:jc w:val="left"/>
    </w:pPr>
    <w:rPr>
      <w:rFonts w:eastAsia="Times New Roman"/>
      <w:kern w:val="0"/>
      <w:sz w:val="17"/>
      <w:szCs w:val="17"/>
      <w:lang w:eastAsia="en-US" w:bidi="en-US"/>
    </w:rPr>
  </w:style>
  <w:style w:type="paragraph" w:styleId="9">
    <w:name w:val="Date"/>
    <w:basedOn w:val="1"/>
    <w:next w:val="1"/>
    <w:link w:val="78"/>
    <w:semiHidden/>
    <w:unhideWhenUsed/>
    <w:qFormat/>
    <w:uiPriority w:val="99"/>
    <w:pPr>
      <w:ind w:left="100" w:leftChars="2500"/>
    </w:pPr>
  </w:style>
  <w:style w:type="paragraph" w:styleId="10">
    <w:name w:val="Body Text Indent 2"/>
    <w:basedOn w:val="1"/>
    <w:link w:val="194"/>
    <w:semiHidden/>
    <w:unhideWhenUsed/>
    <w:qFormat/>
    <w:uiPriority w:val="99"/>
    <w:pPr>
      <w:spacing w:after="120" w:line="480" w:lineRule="auto"/>
      <w:ind w:left="420" w:leftChars="200"/>
    </w:pPr>
  </w:style>
  <w:style w:type="paragraph" w:styleId="11">
    <w:name w:val="Balloon Text"/>
    <w:basedOn w:val="1"/>
    <w:link w:val="33"/>
    <w:semiHidden/>
    <w:unhideWhenUsed/>
    <w:qFormat/>
    <w:uiPriority w:val="99"/>
    <w:rPr>
      <w:sz w:val="18"/>
      <w:szCs w:val="18"/>
    </w:rPr>
  </w:style>
  <w:style w:type="paragraph" w:styleId="12">
    <w:name w:val="footer"/>
    <w:basedOn w:val="1"/>
    <w:link w:val="3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3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autoRedefine/>
    <w:unhideWhenUsed/>
    <w:qFormat/>
    <w:uiPriority w:val="39"/>
  </w:style>
  <w:style w:type="paragraph" w:styleId="15">
    <w:name w:val="toc 2"/>
    <w:basedOn w:val="1"/>
    <w:next w:val="1"/>
    <w:autoRedefine/>
    <w:unhideWhenUsed/>
    <w:qFormat/>
    <w:uiPriority w:val="39"/>
    <w:pPr>
      <w:tabs>
        <w:tab w:val="right" w:leader="dot" w:pos="9402"/>
      </w:tabs>
      <w:ind w:left="420" w:leftChars="200"/>
    </w:pPr>
    <w:rPr>
      <w:rFonts w:eastAsia="黑体"/>
    </w:rPr>
  </w:style>
  <w:style w:type="paragraph" w:styleId="16">
    <w:name w:val="HTML Preformatted"/>
    <w:basedOn w:val="1"/>
    <w:link w:val="1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color w:val="000000"/>
      <w:kern w:val="0"/>
      <w:sz w:val="20"/>
      <w:szCs w:val="20"/>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FollowedHyperlink"/>
    <w:basedOn w:val="20"/>
    <w:semiHidden/>
    <w:unhideWhenUsed/>
    <w:qFormat/>
    <w:uiPriority w:val="99"/>
    <w:rPr>
      <w:color w:val="800080"/>
      <w:u w:val="single"/>
    </w:rPr>
  </w:style>
  <w:style w:type="character" w:styleId="23">
    <w:name w:val="Emphasis"/>
    <w:basedOn w:val="20"/>
    <w:qFormat/>
    <w:uiPriority w:val="20"/>
    <w:rPr>
      <w:i/>
      <w:iCs/>
    </w:rPr>
  </w:style>
  <w:style w:type="character" w:styleId="24">
    <w:name w:val="Hyperlink"/>
    <w:basedOn w:val="20"/>
    <w:unhideWhenUsed/>
    <w:qFormat/>
    <w:uiPriority w:val="99"/>
    <w:rPr>
      <w:color w:val="0000FF"/>
      <w:u w:val="single"/>
    </w:rPr>
  </w:style>
  <w:style w:type="character" w:customStyle="1" w:styleId="25">
    <w:name w:val="标题 1 字符"/>
    <w:basedOn w:val="20"/>
    <w:link w:val="2"/>
    <w:qFormat/>
    <w:uiPriority w:val="9"/>
    <w:rPr>
      <w:rFonts w:ascii="Times New Roman" w:hAnsi="Times New Roman" w:eastAsia="宋体" w:cs="Times New Roman"/>
      <w:b/>
      <w:bCs/>
      <w:kern w:val="44"/>
      <w:sz w:val="44"/>
      <w:szCs w:val="44"/>
    </w:rPr>
  </w:style>
  <w:style w:type="character" w:customStyle="1" w:styleId="26">
    <w:name w:val="标题 2 字符"/>
    <w:basedOn w:val="20"/>
    <w:link w:val="3"/>
    <w:qFormat/>
    <w:uiPriority w:val="9"/>
    <w:rPr>
      <w:rFonts w:ascii="宋体" w:hAnsi="宋体" w:eastAsia="宋体" w:cs="宋体"/>
      <w:b/>
      <w:bCs/>
      <w:kern w:val="0"/>
      <w:sz w:val="36"/>
      <w:szCs w:val="36"/>
    </w:rPr>
  </w:style>
  <w:style w:type="character" w:customStyle="1" w:styleId="27">
    <w:name w:val="标题 3 字符"/>
    <w:basedOn w:val="20"/>
    <w:link w:val="4"/>
    <w:qFormat/>
    <w:uiPriority w:val="9"/>
    <w:rPr>
      <w:b/>
      <w:bCs/>
      <w:sz w:val="32"/>
      <w:szCs w:val="32"/>
    </w:rPr>
  </w:style>
  <w:style w:type="character" w:customStyle="1" w:styleId="28">
    <w:name w:val="标题 4 字符"/>
    <w:basedOn w:val="20"/>
    <w:link w:val="5"/>
    <w:qFormat/>
    <w:uiPriority w:val="9"/>
    <w:rPr>
      <w:rFonts w:asciiTheme="majorHAnsi" w:hAnsiTheme="majorHAnsi" w:eastAsiaTheme="majorEastAsia" w:cstheme="majorBidi"/>
      <w:b/>
      <w:bCs/>
      <w:sz w:val="28"/>
      <w:szCs w:val="28"/>
    </w:rPr>
  </w:style>
  <w:style w:type="character" w:customStyle="1" w:styleId="29">
    <w:name w:val="标题 5 字符"/>
    <w:basedOn w:val="20"/>
    <w:link w:val="6"/>
    <w:semiHidden/>
    <w:qFormat/>
    <w:uiPriority w:val="9"/>
    <w:rPr>
      <w:b/>
      <w:bCs/>
      <w:sz w:val="28"/>
      <w:szCs w:val="28"/>
    </w:rPr>
  </w:style>
  <w:style w:type="character" w:customStyle="1" w:styleId="30">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1">
    <w:name w:val="页眉 字符"/>
    <w:basedOn w:val="20"/>
    <w:link w:val="13"/>
    <w:qFormat/>
    <w:uiPriority w:val="99"/>
    <w:rPr>
      <w:sz w:val="18"/>
      <w:szCs w:val="18"/>
    </w:rPr>
  </w:style>
  <w:style w:type="character" w:customStyle="1" w:styleId="32">
    <w:name w:val="页脚 字符"/>
    <w:basedOn w:val="20"/>
    <w:link w:val="12"/>
    <w:qFormat/>
    <w:uiPriority w:val="99"/>
    <w:rPr>
      <w:sz w:val="18"/>
      <w:szCs w:val="18"/>
    </w:rPr>
  </w:style>
  <w:style w:type="character" w:customStyle="1" w:styleId="33">
    <w:name w:val="批注框文本 字符"/>
    <w:basedOn w:val="20"/>
    <w:link w:val="11"/>
    <w:semiHidden/>
    <w:qFormat/>
    <w:uiPriority w:val="99"/>
    <w:rPr>
      <w:rFonts w:ascii="Times New Roman" w:hAnsi="Times New Roman" w:eastAsia="宋体" w:cs="Times New Roman"/>
      <w:sz w:val="18"/>
      <w:szCs w:val="18"/>
    </w:rPr>
  </w:style>
  <w:style w:type="character" w:customStyle="1" w:styleId="34">
    <w:name w:val="apple-converted-space"/>
    <w:basedOn w:val="20"/>
    <w:qFormat/>
    <w:uiPriority w:val="0"/>
  </w:style>
  <w:style w:type="paragraph" w:styleId="35">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36">
    <w:name w:val="article-author"/>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article-info-en"/>
    <w:basedOn w:val="1"/>
    <w:qFormat/>
    <w:uiPriority w:val="0"/>
    <w:pPr>
      <w:widowControl/>
      <w:spacing w:before="100" w:beforeAutospacing="1" w:after="100" w:afterAutospacing="1"/>
      <w:jc w:val="left"/>
    </w:pPr>
    <w:rPr>
      <w:rFonts w:ascii="宋体" w:hAnsi="宋体" w:cs="宋体"/>
      <w:kern w:val="0"/>
      <w:sz w:val="24"/>
    </w:rPr>
  </w:style>
  <w:style w:type="character" w:customStyle="1" w:styleId="38">
    <w:name w:val="xref"/>
    <w:basedOn w:val="20"/>
    <w:qFormat/>
    <w:uiPriority w:val="0"/>
  </w:style>
  <w:style w:type="character" w:customStyle="1" w:styleId="39">
    <w:name w:val="sec-title"/>
    <w:basedOn w:val="20"/>
    <w:qFormat/>
    <w:uiPriority w:val="0"/>
  </w:style>
  <w:style w:type="character" w:customStyle="1" w:styleId="40">
    <w:name w:val="tabletext"/>
    <w:basedOn w:val="20"/>
    <w:qFormat/>
    <w:uiPriority w:val="0"/>
  </w:style>
  <w:style w:type="character" w:customStyle="1" w:styleId="41">
    <w:name w:val="figtext"/>
    <w:basedOn w:val="20"/>
    <w:qFormat/>
    <w:uiPriority w:val="0"/>
  </w:style>
  <w:style w:type="paragraph" w:customStyle="1" w:styleId="42">
    <w:name w:val="img_tit"/>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mg_note"/>
    <w:basedOn w:val="1"/>
    <w:qFormat/>
    <w:uiPriority w:val="0"/>
    <w:pPr>
      <w:widowControl/>
      <w:spacing w:before="100" w:beforeAutospacing="1" w:after="100" w:afterAutospacing="1"/>
      <w:jc w:val="left"/>
    </w:pPr>
    <w:rPr>
      <w:rFonts w:ascii="宋体" w:hAnsi="宋体" w:cs="宋体"/>
      <w:kern w:val="0"/>
      <w:sz w:val="24"/>
    </w:rPr>
  </w:style>
  <w:style w:type="character" w:customStyle="1" w:styleId="44">
    <w:name w:val="rich_media_meta"/>
    <w:basedOn w:val="20"/>
    <w:qFormat/>
    <w:uiPriority w:val="0"/>
  </w:style>
  <w:style w:type="character" w:customStyle="1" w:styleId="45">
    <w:name w:val="keys"/>
    <w:basedOn w:val="20"/>
    <w:qFormat/>
    <w:uiPriority w:val="0"/>
  </w:style>
  <w:style w:type="character" w:customStyle="1" w:styleId="46">
    <w:name w:val="续段落 Char"/>
    <w:link w:val="47"/>
    <w:qFormat/>
    <w:uiPriority w:val="0"/>
    <w:rPr>
      <w:rFonts w:eastAsia="仿宋_GB2312"/>
      <w:color w:val="000000"/>
      <w:sz w:val="28"/>
      <w:szCs w:val="28"/>
    </w:rPr>
  </w:style>
  <w:style w:type="paragraph" w:customStyle="1" w:styleId="47">
    <w:name w:val="续段落"/>
    <w:basedOn w:val="1"/>
    <w:link w:val="46"/>
    <w:qFormat/>
    <w:uiPriority w:val="0"/>
    <w:pPr>
      <w:spacing w:line="500" w:lineRule="exact"/>
      <w:ind w:firstLine="561"/>
    </w:pPr>
    <w:rPr>
      <w:rFonts w:eastAsia="仿宋_GB2312" w:asciiTheme="minorHAnsi" w:hAnsiTheme="minorHAnsi" w:cstheme="minorBidi"/>
      <w:color w:val="000000"/>
      <w:sz w:val="28"/>
      <w:szCs w:val="28"/>
    </w:rPr>
  </w:style>
  <w:style w:type="character" w:customStyle="1" w:styleId="48">
    <w:name w:val="key_title"/>
    <w:basedOn w:val="20"/>
    <w:qFormat/>
    <w:uiPriority w:val="0"/>
  </w:style>
  <w:style w:type="character" w:customStyle="1" w:styleId="49">
    <w:name w:val="keyword"/>
    <w:basedOn w:val="20"/>
    <w:qFormat/>
    <w:uiPriority w:val="0"/>
  </w:style>
  <w:style w:type="character" w:customStyle="1" w:styleId="50">
    <w:name w:val="paragraph_title"/>
    <w:basedOn w:val="20"/>
    <w:qFormat/>
    <w:uiPriority w:val="0"/>
  </w:style>
  <w:style w:type="character" w:customStyle="1" w:styleId="51">
    <w:name w:val="题注1"/>
    <w:basedOn w:val="20"/>
    <w:qFormat/>
    <w:uiPriority w:val="0"/>
  </w:style>
  <w:style w:type="character" w:customStyle="1" w:styleId="52">
    <w:name w:val="outline_anchor"/>
    <w:basedOn w:val="20"/>
    <w:qFormat/>
    <w:uiPriority w:val="0"/>
  </w:style>
  <w:style w:type="character" w:customStyle="1" w:styleId="53">
    <w:name w:val="z-窗体顶端 字符"/>
    <w:basedOn w:val="20"/>
    <w:link w:val="54"/>
    <w:semiHidden/>
    <w:qFormat/>
    <w:uiPriority w:val="99"/>
    <w:rPr>
      <w:rFonts w:ascii="Arial" w:hAnsi="Arial" w:eastAsia="宋体" w:cs="Arial"/>
      <w:vanish/>
      <w:kern w:val="0"/>
      <w:sz w:val="16"/>
      <w:szCs w:val="16"/>
    </w:rPr>
  </w:style>
  <w:style w:type="paragraph" w:customStyle="1" w:styleId="54">
    <w:name w:val="z-窗体顶端1"/>
    <w:basedOn w:val="1"/>
    <w:next w:val="1"/>
    <w:link w:val="53"/>
    <w:semiHidden/>
    <w:unhideWhenUsed/>
    <w:qFormat/>
    <w:uiPriority w:val="99"/>
    <w:pPr>
      <w:widowControl/>
      <w:pBdr>
        <w:bottom w:val="single" w:color="auto" w:sz="6" w:space="1"/>
      </w:pBdr>
      <w:jc w:val="center"/>
    </w:pPr>
    <w:rPr>
      <w:rFonts w:ascii="Arial" w:hAnsi="Arial" w:cs="Arial"/>
      <w:vanish/>
      <w:kern w:val="0"/>
      <w:sz w:val="16"/>
      <w:szCs w:val="16"/>
    </w:rPr>
  </w:style>
  <w:style w:type="character" w:customStyle="1" w:styleId="55">
    <w:name w:val="z-窗体顶端 Char1"/>
    <w:basedOn w:val="20"/>
    <w:semiHidden/>
    <w:qFormat/>
    <w:uiPriority w:val="99"/>
    <w:rPr>
      <w:rFonts w:ascii="Arial" w:hAnsi="Arial" w:eastAsia="宋体" w:cs="Arial"/>
      <w:vanish/>
      <w:sz w:val="16"/>
      <w:szCs w:val="16"/>
    </w:rPr>
  </w:style>
  <w:style w:type="character" w:customStyle="1" w:styleId="56">
    <w:name w:val="z-窗体底端 字符"/>
    <w:basedOn w:val="20"/>
    <w:link w:val="57"/>
    <w:semiHidden/>
    <w:qFormat/>
    <w:uiPriority w:val="99"/>
    <w:rPr>
      <w:rFonts w:ascii="Arial" w:hAnsi="Arial" w:eastAsia="宋体" w:cs="Arial"/>
      <w:vanish/>
      <w:kern w:val="0"/>
      <w:sz w:val="16"/>
      <w:szCs w:val="16"/>
    </w:rPr>
  </w:style>
  <w:style w:type="paragraph" w:customStyle="1" w:styleId="57">
    <w:name w:val="z-窗体底端1"/>
    <w:basedOn w:val="1"/>
    <w:next w:val="1"/>
    <w:link w:val="56"/>
    <w:semiHidden/>
    <w:unhideWhenUsed/>
    <w:qFormat/>
    <w:uiPriority w:val="99"/>
    <w:pPr>
      <w:widowControl/>
      <w:pBdr>
        <w:top w:val="single" w:color="auto" w:sz="6" w:space="1"/>
      </w:pBdr>
      <w:jc w:val="center"/>
    </w:pPr>
    <w:rPr>
      <w:rFonts w:ascii="Arial" w:hAnsi="Arial" w:cs="Arial"/>
      <w:vanish/>
      <w:kern w:val="0"/>
      <w:sz w:val="16"/>
      <w:szCs w:val="16"/>
    </w:rPr>
  </w:style>
  <w:style w:type="character" w:customStyle="1" w:styleId="58">
    <w:name w:val="z-窗体底端 Char1"/>
    <w:basedOn w:val="20"/>
    <w:semiHidden/>
    <w:qFormat/>
    <w:uiPriority w:val="99"/>
    <w:rPr>
      <w:rFonts w:ascii="Arial" w:hAnsi="Arial" w:eastAsia="宋体" w:cs="Arial"/>
      <w:vanish/>
      <w:sz w:val="16"/>
      <w:szCs w:val="16"/>
    </w:rPr>
  </w:style>
  <w:style w:type="paragraph" w:customStyle="1" w:styleId="59">
    <w:name w:val="reader-word-layer reader-word-s2-16"/>
    <w:basedOn w:val="1"/>
    <w:qFormat/>
    <w:uiPriority w:val="0"/>
    <w:pPr>
      <w:widowControl/>
      <w:spacing w:before="100" w:beforeAutospacing="1" w:after="100" w:afterAutospacing="1"/>
      <w:jc w:val="left"/>
    </w:pPr>
    <w:rPr>
      <w:rFonts w:ascii="宋体" w:hAnsi="宋体" w:cs="宋体"/>
      <w:kern w:val="0"/>
      <w:sz w:val="24"/>
    </w:rPr>
  </w:style>
  <w:style w:type="character" w:customStyle="1" w:styleId="60">
    <w:name w:val="bjh-p"/>
    <w:basedOn w:val="20"/>
    <w:qFormat/>
    <w:uiPriority w:val="0"/>
  </w:style>
  <w:style w:type="character" w:customStyle="1" w:styleId="61">
    <w:name w:val="bjh-strong"/>
    <w:basedOn w:val="20"/>
    <w:qFormat/>
    <w:uiPriority w:val="0"/>
  </w:style>
  <w:style w:type="character" w:customStyle="1" w:styleId="62">
    <w:name w:val="author_cn"/>
    <w:basedOn w:val="20"/>
    <w:qFormat/>
    <w:uiPriority w:val="0"/>
  </w:style>
  <w:style w:type="character" w:customStyle="1" w:styleId="63">
    <w:name w:val="author_en"/>
    <w:basedOn w:val="20"/>
    <w:qFormat/>
    <w:uiPriority w:val="0"/>
  </w:style>
  <w:style w:type="character" w:customStyle="1" w:styleId="64">
    <w:name w:val="题注2"/>
    <w:basedOn w:val="20"/>
    <w:qFormat/>
    <w:uiPriority w:val="0"/>
  </w:style>
  <w:style w:type="character" w:customStyle="1" w:styleId="65">
    <w:name w:val="tabtext"/>
    <w:basedOn w:val="20"/>
    <w:qFormat/>
    <w:uiPriority w:val="0"/>
  </w:style>
  <w:style w:type="character" w:customStyle="1" w:styleId="66">
    <w:name w:val="mathjax_preview"/>
    <w:basedOn w:val="20"/>
    <w:qFormat/>
    <w:uiPriority w:val="0"/>
  </w:style>
  <w:style w:type="character" w:customStyle="1" w:styleId="67">
    <w:name w:val="mathjax"/>
    <w:basedOn w:val="20"/>
    <w:qFormat/>
    <w:uiPriority w:val="0"/>
  </w:style>
  <w:style w:type="character" w:customStyle="1" w:styleId="68">
    <w:name w:val="math"/>
    <w:basedOn w:val="20"/>
    <w:qFormat/>
    <w:uiPriority w:val="0"/>
  </w:style>
  <w:style w:type="character" w:customStyle="1" w:styleId="69">
    <w:name w:val="mrow"/>
    <w:basedOn w:val="20"/>
    <w:qFormat/>
    <w:uiPriority w:val="0"/>
  </w:style>
  <w:style w:type="character" w:customStyle="1" w:styleId="70">
    <w:name w:val="mtable"/>
    <w:basedOn w:val="20"/>
    <w:qFormat/>
    <w:uiPriority w:val="0"/>
  </w:style>
  <w:style w:type="character" w:customStyle="1" w:styleId="71">
    <w:name w:val="mtd"/>
    <w:basedOn w:val="20"/>
    <w:qFormat/>
    <w:uiPriority w:val="0"/>
  </w:style>
  <w:style w:type="character" w:customStyle="1" w:styleId="72">
    <w:name w:val="texatom"/>
    <w:basedOn w:val="20"/>
    <w:qFormat/>
    <w:uiPriority w:val="0"/>
  </w:style>
  <w:style w:type="character" w:customStyle="1" w:styleId="73">
    <w:name w:val="mi"/>
    <w:basedOn w:val="20"/>
    <w:qFormat/>
    <w:uiPriority w:val="0"/>
  </w:style>
  <w:style w:type="character" w:customStyle="1" w:styleId="74">
    <w:name w:val="mo"/>
    <w:basedOn w:val="20"/>
    <w:qFormat/>
    <w:uiPriority w:val="0"/>
  </w:style>
  <w:style w:type="character" w:customStyle="1" w:styleId="75">
    <w:name w:val="msubsup"/>
    <w:basedOn w:val="20"/>
    <w:qFormat/>
    <w:uiPriority w:val="0"/>
  </w:style>
  <w:style w:type="character" w:customStyle="1" w:styleId="76">
    <w:name w:val="mn"/>
    <w:basedOn w:val="20"/>
    <w:qFormat/>
    <w:uiPriority w:val="0"/>
  </w:style>
  <w:style w:type="character" w:customStyle="1" w:styleId="77">
    <w:name w:val="mjx_assistive_mathml"/>
    <w:basedOn w:val="20"/>
    <w:qFormat/>
    <w:uiPriority w:val="0"/>
  </w:style>
  <w:style w:type="character" w:customStyle="1" w:styleId="78">
    <w:name w:val="日期 字符"/>
    <w:basedOn w:val="20"/>
    <w:link w:val="9"/>
    <w:semiHidden/>
    <w:qFormat/>
    <w:uiPriority w:val="99"/>
    <w:rPr>
      <w:rFonts w:ascii="Times New Roman" w:hAnsi="Times New Roman" w:eastAsia="宋体" w:cs="Times New Roman"/>
      <w:szCs w:val="24"/>
    </w:rPr>
  </w:style>
  <w:style w:type="paragraph" w:customStyle="1" w:styleId="7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80">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81">
    <w:name w:val="li-pdf"/>
    <w:basedOn w:val="1"/>
    <w:qFormat/>
    <w:uiPriority w:val="0"/>
    <w:pPr>
      <w:widowControl/>
      <w:spacing w:before="100" w:beforeAutospacing="1" w:after="100" w:afterAutospacing="1"/>
      <w:jc w:val="left"/>
    </w:pPr>
    <w:rPr>
      <w:rFonts w:ascii="宋体" w:hAnsi="宋体" w:cs="宋体"/>
      <w:kern w:val="0"/>
      <w:sz w:val="24"/>
    </w:rPr>
  </w:style>
  <w:style w:type="paragraph" w:customStyle="1" w:styleId="82">
    <w:name w:val="li-excel"/>
    <w:basedOn w:val="1"/>
    <w:qFormat/>
    <w:uiPriority w:val="0"/>
    <w:pPr>
      <w:widowControl/>
      <w:spacing w:before="100" w:beforeAutospacing="1" w:after="100" w:afterAutospacing="1"/>
      <w:jc w:val="left"/>
    </w:pPr>
    <w:rPr>
      <w:rFonts w:ascii="宋体" w:hAnsi="宋体" w:cs="宋体"/>
      <w:kern w:val="0"/>
      <w:sz w:val="24"/>
    </w:rPr>
  </w:style>
  <w:style w:type="paragraph" w:customStyle="1" w:styleId="83">
    <w:name w:val="li-xml"/>
    <w:basedOn w:val="1"/>
    <w:qFormat/>
    <w:uiPriority w:val="0"/>
    <w:pPr>
      <w:widowControl/>
      <w:spacing w:before="100" w:beforeAutospacing="1" w:after="100" w:afterAutospacing="1"/>
      <w:jc w:val="left"/>
    </w:pPr>
    <w:rPr>
      <w:rFonts w:ascii="宋体" w:hAnsi="宋体" w:cs="宋体"/>
      <w:kern w:val="0"/>
      <w:sz w:val="24"/>
    </w:rPr>
  </w:style>
  <w:style w:type="character" w:customStyle="1" w:styleId="84">
    <w:name w:val="maincolor"/>
    <w:basedOn w:val="20"/>
    <w:qFormat/>
    <w:uiPriority w:val="0"/>
  </w:style>
  <w:style w:type="paragraph" w:customStyle="1" w:styleId="85">
    <w:name w:val="article_ceil_title"/>
    <w:basedOn w:val="1"/>
    <w:qFormat/>
    <w:uiPriority w:val="0"/>
    <w:pPr>
      <w:widowControl/>
      <w:spacing w:before="100" w:beforeAutospacing="1" w:after="100" w:afterAutospacing="1"/>
      <w:jc w:val="left"/>
    </w:pPr>
    <w:rPr>
      <w:rFonts w:ascii="宋体" w:hAnsi="宋体" w:cs="宋体"/>
      <w:kern w:val="0"/>
      <w:sz w:val="24"/>
    </w:rPr>
  </w:style>
  <w:style w:type="paragraph" w:customStyle="1" w:styleId="86">
    <w:name w:val="article_ceil_author"/>
    <w:basedOn w:val="1"/>
    <w:qFormat/>
    <w:uiPriority w:val="0"/>
    <w:pPr>
      <w:widowControl/>
      <w:spacing w:before="100" w:beforeAutospacing="1" w:after="100" w:afterAutospacing="1"/>
      <w:jc w:val="left"/>
    </w:pPr>
    <w:rPr>
      <w:rFonts w:ascii="宋体" w:hAnsi="宋体" w:cs="宋体"/>
      <w:kern w:val="0"/>
      <w:sz w:val="24"/>
    </w:rPr>
  </w:style>
  <w:style w:type="paragraph" w:customStyle="1" w:styleId="87">
    <w:name w:val="articletool_li1"/>
    <w:basedOn w:val="1"/>
    <w:qFormat/>
    <w:uiPriority w:val="0"/>
    <w:pPr>
      <w:widowControl/>
      <w:spacing w:before="100" w:beforeAutospacing="1" w:after="100" w:afterAutospacing="1"/>
      <w:jc w:val="left"/>
    </w:pPr>
    <w:rPr>
      <w:rFonts w:ascii="宋体" w:hAnsi="宋体" w:cs="宋体"/>
      <w:kern w:val="0"/>
      <w:sz w:val="24"/>
    </w:rPr>
  </w:style>
  <w:style w:type="paragraph" w:customStyle="1" w:styleId="88">
    <w:name w:val="articletool_li2"/>
    <w:basedOn w:val="1"/>
    <w:qFormat/>
    <w:uiPriority w:val="0"/>
    <w:pPr>
      <w:widowControl/>
      <w:spacing w:before="100" w:beforeAutospacing="1" w:after="100" w:afterAutospacing="1"/>
      <w:jc w:val="left"/>
    </w:pPr>
    <w:rPr>
      <w:rFonts w:ascii="宋体" w:hAnsi="宋体" w:cs="宋体"/>
      <w:kern w:val="0"/>
      <w:sz w:val="24"/>
    </w:rPr>
  </w:style>
  <w:style w:type="paragraph" w:customStyle="1" w:styleId="89">
    <w:name w:val="articletool_li3"/>
    <w:basedOn w:val="1"/>
    <w:qFormat/>
    <w:uiPriority w:val="0"/>
    <w:pPr>
      <w:widowControl/>
      <w:spacing w:before="100" w:beforeAutospacing="1" w:after="100" w:afterAutospacing="1"/>
      <w:jc w:val="left"/>
    </w:pPr>
    <w:rPr>
      <w:rFonts w:ascii="宋体" w:hAnsi="宋体" w:cs="宋体"/>
      <w:kern w:val="0"/>
      <w:sz w:val="24"/>
    </w:rPr>
  </w:style>
  <w:style w:type="paragraph" w:customStyle="1" w:styleId="90">
    <w:name w:val="figtabspan"/>
    <w:basedOn w:val="1"/>
    <w:qFormat/>
    <w:uiPriority w:val="0"/>
    <w:pPr>
      <w:widowControl/>
      <w:spacing w:before="100" w:beforeAutospacing="1" w:after="100" w:afterAutospacing="1"/>
      <w:jc w:val="left"/>
    </w:pPr>
    <w:rPr>
      <w:rFonts w:ascii="宋体" w:hAnsi="宋体" w:cs="宋体"/>
      <w:kern w:val="0"/>
      <w:sz w:val="24"/>
    </w:rPr>
  </w:style>
  <w:style w:type="character" w:customStyle="1" w:styleId="91">
    <w:name w:val="info"/>
    <w:basedOn w:val="20"/>
    <w:qFormat/>
    <w:uiPriority w:val="0"/>
  </w:style>
  <w:style w:type="character" w:customStyle="1" w:styleId="92">
    <w:name w:val="infoen"/>
    <w:basedOn w:val="20"/>
    <w:qFormat/>
    <w:uiPriority w:val="0"/>
  </w:style>
  <w:style w:type="character" w:customStyle="1" w:styleId="93">
    <w:name w:val="rich_media_meta_link"/>
    <w:basedOn w:val="20"/>
    <w:qFormat/>
    <w:uiPriority w:val="0"/>
  </w:style>
  <w:style w:type="character" w:customStyle="1" w:styleId="94">
    <w:name w:val="source"/>
    <w:basedOn w:val="20"/>
    <w:qFormat/>
    <w:uiPriority w:val="0"/>
  </w:style>
  <w:style w:type="paragraph" w:customStyle="1" w:styleId="95">
    <w:name w:val="one-p"/>
    <w:basedOn w:val="1"/>
    <w:qFormat/>
    <w:uiPriority w:val="0"/>
    <w:pPr>
      <w:widowControl/>
      <w:spacing w:before="100" w:beforeAutospacing="1" w:after="100" w:afterAutospacing="1"/>
      <w:jc w:val="left"/>
    </w:pPr>
    <w:rPr>
      <w:rFonts w:ascii="宋体" w:hAnsi="宋体" w:cs="宋体"/>
      <w:kern w:val="0"/>
      <w:sz w:val="24"/>
    </w:rPr>
  </w:style>
  <w:style w:type="character" w:customStyle="1" w:styleId="96">
    <w:name w:val="vm"/>
    <w:basedOn w:val="20"/>
    <w:qFormat/>
    <w:uiPriority w:val="0"/>
  </w:style>
  <w:style w:type="character" w:customStyle="1" w:styleId="97">
    <w:name w:val="article_title3"/>
    <w:basedOn w:val="20"/>
    <w:qFormat/>
    <w:uiPriority w:val="0"/>
  </w:style>
  <w:style w:type="character" w:customStyle="1" w:styleId="98">
    <w:name w:val="正文文本 字符"/>
    <w:basedOn w:val="20"/>
    <w:link w:val="8"/>
    <w:qFormat/>
    <w:uiPriority w:val="1"/>
    <w:rPr>
      <w:rFonts w:ascii="Times New Roman" w:hAnsi="Times New Roman" w:eastAsia="Times New Roman" w:cs="Times New Roman"/>
      <w:kern w:val="0"/>
      <w:sz w:val="17"/>
      <w:szCs w:val="17"/>
      <w:lang w:eastAsia="en-US" w:bidi="en-US"/>
    </w:rPr>
  </w:style>
  <w:style w:type="paragraph" w:customStyle="1" w:styleId="99">
    <w:name w:val="Table Paragraph"/>
    <w:basedOn w:val="1"/>
    <w:qFormat/>
    <w:uiPriority w:val="1"/>
    <w:pPr>
      <w:autoSpaceDE w:val="0"/>
      <w:autoSpaceDN w:val="0"/>
      <w:spacing w:before="46"/>
      <w:jc w:val="center"/>
    </w:pPr>
    <w:rPr>
      <w:rFonts w:eastAsia="Times New Roman"/>
      <w:kern w:val="0"/>
      <w:sz w:val="22"/>
      <w:szCs w:val="22"/>
      <w:lang w:eastAsia="en-US" w:bidi="en-US"/>
    </w:rPr>
  </w:style>
  <w:style w:type="paragraph" w:customStyle="1" w:styleId="100">
    <w:name w:val="pic_cent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01">
    <w:name w:val="anchor-a"/>
    <w:basedOn w:val="20"/>
    <w:qFormat/>
    <w:uiPriority w:val="0"/>
  </w:style>
  <w:style w:type="character" w:customStyle="1" w:styleId="102">
    <w:name w:val="未处理的提及1"/>
    <w:basedOn w:val="20"/>
    <w:semiHidden/>
    <w:unhideWhenUsed/>
    <w:qFormat/>
    <w:uiPriority w:val="99"/>
    <w:rPr>
      <w:color w:val="605E5C"/>
      <w:shd w:val="clear" w:color="auto" w:fill="E1DFDD"/>
    </w:rPr>
  </w:style>
  <w:style w:type="paragraph" w:styleId="10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4">
    <w:name w:val="s1"/>
    <w:basedOn w:val="1"/>
    <w:qFormat/>
    <w:uiPriority w:val="0"/>
    <w:pPr>
      <w:widowControl/>
      <w:spacing w:before="100" w:beforeAutospacing="1" w:after="100" w:afterAutospacing="1"/>
      <w:jc w:val="left"/>
    </w:pPr>
    <w:rPr>
      <w:rFonts w:ascii="宋体" w:hAnsi="宋体" w:cs="宋体"/>
      <w:kern w:val="0"/>
      <w:sz w:val="24"/>
    </w:rPr>
  </w:style>
  <w:style w:type="character" w:customStyle="1" w:styleId="105">
    <w:name w:val="s2"/>
    <w:basedOn w:val="20"/>
    <w:qFormat/>
    <w:uiPriority w:val="0"/>
  </w:style>
  <w:style w:type="character" w:customStyle="1" w:styleId="106">
    <w:name w:val="s3"/>
    <w:basedOn w:val="20"/>
    <w:qFormat/>
    <w:uiPriority w:val="0"/>
  </w:style>
  <w:style w:type="paragraph" w:customStyle="1" w:styleId="107">
    <w:name w:val="s4"/>
    <w:basedOn w:val="1"/>
    <w:qFormat/>
    <w:uiPriority w:val="0"/>
    <w:pPr>
      <w:widowControl/>
      <w:spacing w:before="100" w:beforeAutospacing="1" w:after="100" w:afterAutospacing="1"/>
      <w:jc w:val="left"/>
    </w:pPr>
    <w:rPr>
      <w:rFonts w:ascii="宋体" w:hAnsi="宋体" w:cs="宋体"/>
      <w:kern w:val="0"/>
      <w:sz w:val="24"/>
    </w:rPr>
  </w:style>
  <w:style w:type="character" w:customStyle="1" w:styleId="108">
    <w:name w:val="s5"/>
    <w:basedOn w:val="20"/>
    <w:qFormat/>
    <w:uiPriority w:val="0"/>
  </w:style>
  <w:style w:type="character" w:customStyle="1" w:styleId="109">
    <w:name w:val="s6"/>
    <w:basedOn w:val="20"/>
    <w:qFormat/>
    <w:uiPriority w:val="0"/>
  </w:style>
  <w:style w:type="character" w:customStyle="1" w:styleId="110">
    <w:name w:val="p"/>
    <w:basedOn w:val="20"/>
    <w:qFormat/>
    <w:uiPriority w:val="0"/>
  </w:style>
  <w:style w:type="paragraph" w:customStyle="1" w:styleId="111">
    <w:name w:val="s7"/>
    <w:basedOn w:val="1"/>
    <w:qFormat/>
    <w:uiPriority w:val="0"/>
    <w:pPr>
      <w:widowControl/>
      <w:spacing w:before="100" w:beforeAutospacing="1" w:after="100" w:afterAutospacing="1"/>
      <w:jc w:val="left"/>
    </w:pPr>
    <w:rPr>
      <w:rFonts w:ascii="宋体" w:hAnsi="宋体" w:cs="宋体"/>
      <w:kern w:val="0"/>
      <w:sz w:val="24"/>
    </w:rPr>
  </w:style>
  <w:style w:type="character" w:customStyle="1" w:styleId="112">
    <w:name w:val="s41"/>
    <w:basedOn w:val="20"/>
    <w:qFormat/>
    <w:uiPriority w:val="0"/>
  </w:style>
  <w:style w:type="character" w:customStyle="1" w:styleId="113">
    <w:name w:val="h2"/>
    <w:basedOn w:val="20"/>
    <w:qFormat/>
    <w:uiPriority w:val="0"/>
  </w:style>
  <w:style w:type="paragraph" w:customStyle="1" w:styleId="114">
    <w:name w:val="s10"/>
    <w:basedOn w:val="1"/>
    <w:qFormat/>
    <w:uiPriority w:val="0"/>
    <w:pPr>
      <w:widowControl/>
      <w:spacing w:before="100" w:beforeAutospacing="1" w:after="100" w:afterAutospacing="1"/>
      <w:jc w:val="left"/>
    </w:pPr>
    <w:rPr>
      <w:rFonts w:ascii="宋体" w:hAnsi="宋体" w:cs="宋体"/>
      <w:kern w:val="0"/>
      <w:sz w:val="24"/>
    </w:rPr>
  </w:style>
  <w:style w:type="paragraph" w:customStyle="1" w:styleId="115">
    <w:name w:val="s9"/>
    <w:basedOn w:val="1"/>
    <w:qFormat/>
    <w:uiPriority w:val="0"/>
    <w:pPr>
      <w:widowControl/>
      <w:spacing w:before="100" w:beforeAutospacing="1" w:after="100" w:afterAutospacing="1"/>
      <w:jc w:val="left"/>
    </w:pPr>
    <w:rPr>
      <w:rFonts w:ascii="宋体" w:hAnsi="宋体" w:cs="宋体"/>
      <w:kern w:val="0"/>
      <w:sz w:val="24"/>
    </w:rPr>
  </w:style>
  <w:style w:type="character" w:customStyle="1" w:styleId="116">
    <w:name w:val="s11"/>
    <w:basedOn w:val="20"/>
    <w:qFormat/>
    <w:uiPriority w:val="0"/>
  </w:style>
  <w:style w:type="paragraph" w:customStyle="1" w:styleId="117">
    <w:name w:val="s14"/>
    <w:basedOn w:val="1"/>
    <w:qFormat/>
    <w:uiPriority w:val="0"/>
    <w:pPr>
      <w:widowControl/>
      <w:spacing w:before="100" w:beforeAutospacing="1" w:after="100" w:afterAutospacing="1"/>
      <w:jc w:val="left"/>
    </w:pPr>
    <w:rPr>
      <w:rFonts w:ascii="宋体" w:hAnsi="宋体" w:cs="宋体"/>
      <w:kern w:val="0"/>
      <w:sz w:val="24"/>
    </w:rPr>
  </w:style>
  <w:style w:type="character" w:customStyle="1" w:styleId="118">
    <w:name w:val="s12"/>
    <w:basedOn w:val="20"/>
    <w:qFormat/>
    <w:uiPriority w:val="0"/>
  </w:style>
  <w:style w:type="character" w:customStyle="1" w:styleId="119">
    <w:name w:val="s13"/>
    <w:basedOn w:val="20"/>
    <w:qFormat/>
    <w:uiPriority w:val="0"/>
  </w:style>
  <w:style w:type="paragraph" w:customStyle="1" w:styleId="120">
    <w:name w:val="s131"/>
    <w:basedOn w:val="1"/>
    <w:qFormat/>
    <w:uiPriority w:val="0"/>
    <w:pPr>
      <w:widowControl/>
      <w:spacing w:before="100" w:beforeAutospacing="1" w:after="100" w:afterAutospacing="1"/>
      <w:jc w:val="left"/>
    </w:pPr>
    <w:rPr>
      <w:rFonts w:ascii="宋体" w:hAnsi="宋体" w:cs="宋体"/>
      <w:kern w:val="0"/>
      <w:sz w:val="24"/>
    </w:rPr>
  </w:style>
  <w:style w:type="character" w:customStyle="1" w:styleId="121">
    <w:name w:val="h4"/>
    <w:basedOn w:val="20"/>
    <w:qFormat/>
    <w:uiPriority w:val="0"/>
  </w:style>
  <w:style w:type="character" w:customStyle="1" w:styleId="122">
    <w:name w:val="s141"/>
    <w:basedOn w:val="20"/>
    <w:qFormat/>
    <w:uiPriority w:val="0"/>
  </w:style>
  <w:style w:type="paragraph" w:customStyle="1" w:styleId="123">
    <w:name w:val="s12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4">
    <w:name w:val="s16"/>
    <w:basedOn w:val="1"/>
    <w:qFormat/>
    <w:uiPriority w:val="0"/>
    <w:pPr>
      <w:widowControl/>
      <w:spacing w:before="100" w:beforeAutospacing="1" w:after="100" w:afterAutospacing="1"/>
      <w:jc w:val="left"/>
    </w:pPr>
    <w:rPr>
      <w:rFonts w:ascii="宋体" w:hAnsi="宋体" w:cs="宋体"/>
      <w:kern w:val="0"/>
      <w:sz w:val="24"/>
    </w:rPr>
  </w:style>
  <w:style w:type="character" w:customStyle="1" w:styleId="125">
    <w:name w:val="s17"/>
    <w:basedOn w:val="20"/>
    <w:qFormat/>
    <w:uiPriority w:val="0"/>
  </w:style>
  <w:style w:type="character" w:customStyle="1" w:styleId="126">
    <w:name w:val="s18"/>
    <w:basedOn w:val="20"/>
    <w:qFormat/>
    <w:uiPriority w:val="0"/>
  </w:style>
  <w:style w:type="character" w:customStyle="1" w:styleId="127">
    <w:name w:val="s19"/>
    <w:basedOn w:val="20"/>
    <w:qFormat/>
    <w:uiPriority w:val="0"/>
  </w:style>
  <w:style w:type="character" w:customStyle="1" w:styleId="128">
    <w:name w:val="s20"/>
    <w:basedOn w:val="20"/>
    <w:qFormat/>
    <w:uiPriority w:val="0"/>
  </w:style>
  <w:style w:type="character" w:customStyle="1" w:styleId="129">
    <w:name w:val="s21"/>
    <w:basedOn w:val="20"/>
    <w:qFormat/>
    <w:uiPriority w:val="0"/>
  </w:style>
  <w:style w:type="paragraph" w:customStyle="1" w:styleId="130">
    <w:name w:val="s22"/>
    <w:basedOn w:val="1"/>
    <w:qFormat/>
    <w:uiPriority w:val="0"/>
    <w:pPr>
      <w:widowControl/>
      <w:spacing w:before="100" w:beforeAutospacing="1" w:after="100" w:afterAutospacing="1"/>
      <w:jc w:val="left"/>
    </w:pPr>
    <w:rPr>
      <w:rFonts w:ascii="宋体" w:hAnsi="宋体" w:cs="宋体"/>
      <w:kern w:val="0"/>
      <w:sz w:val="24"/>
    </w:rPr>
  </w:style>
  <w:style w:type="character" w:customStyle="1" w:styleId="131">
    <w:name w:val="s23"/>
    <w:basedOn w:val="20"/>
    <w:qFormat/>
    <w:uiPriority w:val="0"/>
  </w:style>
  <w:style w:type="character" w:customStyle="1" w:styleId="132">
    <w:name w:val="s24"/>
    <w:basedOn w:val="20"/>
    <w:qFormat/>
    <w:uiPriority w:val="0"/>
  </w:style>
  <w:style w:type="paragraph" w:customStyle="1" w:styleId="133">
    <w:name w:val="s25"/>
    <w:basedOn w:val="1"/>
    <w:qFormat/>
    <w:uiPriority w:val="0"/>
    <w:pPr>
      <w:widowControl/>
      <w:spacing w:before="100" w:beforeAutospacing="1" w:after="100" w:afterAutospacing="1"/>
      <w:jc w:val="left"/>
    </w:pPr>
    <w:rPr>
      <w:rFonts w:ascii="宋体" w:hAnsi="宋体" w:cs="宋体"/>
      <w:kern w:val="0"/>
      <w:sz w:val="24"/>
    </w:rPr>
  </w:style>
  <w:style w:type="character" w:customStyle="1" w:styleId="134">
    <w:name w:val="s221"/>
    <w:basedOn w:val="20"/>
    <w:qFormat/>
    <w:uiPriority w:val="0"/>
  </w:style>
  <w:style w:type="paragraph" w:customStyle="1" w:styleId="135">
    <w:name w:val="s27"/>
    <w:basedOn w:val="1"/>
    <w:qFormat/>
    <w:uiPriority w:val="0"/>
    <w:pPr>
      <w:widowControl/>
      <w:spacing w:before="100" w:beforeAutospacing="1" w:after="100" w:afterAutospacing="1"/>
      <w:jc w:val="left"/>
    </w:pPr>
    <w:rPr>
      <w:rFonts w:ascii="宋体" w:hAnsi="宋体" w:cs="宋体"/>
      <w:kern w:val="0"/>
      <w:sz w:val="24"/>
    </w:rPr>
  </w:style>
  <w:style w:type="paragraph" w:customStyle="1" w:styleId="136">
    <w:name w:val="s28"/>
    <w:basedOn w:val="1"/>
    <w:qFormat/>
    <w:uiPriority w:val="0"/>
    <w:pPr>
      <w:widowControl/>
      <w:spacing w:before="100" w:beforeAutospacing="1" w:after="100" w:afterAutospacing="1"/>
      <w:jc w:val="left"/>
    </w:pPr>
    <w:rPr>
      <w:rFonts w:ascii="宋体" w:hAnsi="宋体" w:cs="宋体"/>
      <w:kern w:val="0"/>
      <w:sz w:val="24"/>
    </w:rPr>
  </w:style>
  <w:style w:type="character" w:customStyle="1" w:styleId="137">
    <w:name w:val="s30"/>
    <w:basedOn w:val="20"/>
    <w:qFormat/>
    <w:uiPriority w:val="0"/>
  </w:style>
  <w:style w:type="paragraph" w:customStyle="1" w:styleId="138">
    <w:name w:val="s171"/>
    <w:basedOn w:val="1"/>
    <w:qFormat/>
    <w:uiPriority w:val="0"/>
    <w:pPr>
      <w:widowControl/>
      <w:spacing w:before="100" w:beforeAutospacing="1" w:after="100" w:afterAutospacing="1"/>
      <w:jc w:val="left"/>
    </w:pPr>
    <w:rPr>
      <w:rFonts w:ascii="宋体" w:hAnsi="宋体" w:cs="宋体"/>
      <w:kern w:val="0"/>
      <w:sz w:val="24"/>
    </w:rPr>
  </w:style>
  <w:style w:type="character" w:customStyle="1" w:styleId="139">
    <w:name w:val="s161"/>
    <w:basedOn w:val="20"/>
    <w:qFormat/>
    <w:uiPriority w:val="0"/>
  </w:style>
  <w:style w:type="paragraph" w:customStyle="1" w:styleId="140">
    <w:name w:val="s3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1">
    <w:name w:val="s32"/>
    <w:basedOn w:val="20"/>
    <w:qFormat/>
    <w:uiPriority w:val="0"/>
  </w:style>
  <w:style w:type="paragraph" w:customStyle="1" w:styleId="142">
    <w:name w:val="s33"/>
    <w:basedOn w:val="1"/>
    <w:qFormat/>
    <w:uiPriority w:val="0"/>
    <w:pPr>
      <w:widowControl/>
      <w:spacing w:before="100" w:beforeAutospacing="1" w:after="100" w:afterAutospacing="1"/>
      <w:jc w:val="left"/>
    </w:pPr>
    <w:rPr>
      <w:rFonts w:ascii="宋体" w:hAnsi="宋体" w:cs="宋体"/>
      <w:kern w:val="0"/>
      <w:sz w:val="24"/>
    </w:rPr>
  </w:style>
  <w:style w:type="paragraph" w:customStyle="1" w:styleId="143">
    <w:name w:val="s34"/>
    <w:basedOn w:val="1"/>
    <w:qFormat/>
    <w:uiPriority w:val="0"/>
    <w:pPr>
      <w:widowControl/>
      <w:spacing w:before="100" w:beforeAutospacing="1" w:after="100" w:afterAutospacing="1"/>
      <w:jc w:val="left"/>
    </w:pPr>
    <w:rPr>
      <w:rFonts w:ascii="宋体" w:hAnsi="宋体" w:cs="宋体"/>
      <w:kern w:val="0"/>
      <w:sz w:val="24"/>
    </w:rPr>
  </w:style>
  <w:style w:type="character" w:customStyle="1" w:styleId="144">
    <w:name w:val="s331"/>
    <w:basedOn w:val="20"/>
    <w:qFormat/>
    <w:uiPriority w:val="0"/>
  </w:style>
  <w:style w:type="character" w:customStyle="1" w:styleId="145">
    <w:name w:val="s35"/>
    <w:basedOn w:val="20"/>
    <w:qFormat/>
    <w:uiPriority w:val="0"/>
  </w:style>
  <w:style w:type="character" w:customStyle="1" w:styleId="146">
    <w:name w:val="s36"/>
    <w:basedOn w:val="20"/>
    <w:qFormat/>
    <w:uiPriority w:val="0"/>
  </w:style>
  <w:style w:type="character" w:customStyle="1" w:styleId="147">
    <w:name w:val="s37"/>
    <w:basedOn w:val="20"/>
    <w:qFormat/>
    <w:uiPriority w:val="0"/>
  </w:style>
  <w:style w:type="character" w:customStyle="1" w:styleId="148">
    <w:name w:val="s38"/>
    <w:basedOn w:val="20"/>
    <w:qFormat/>
    <w:uiPriority w:val="0"/>
  </w:style>
  <w:style w:type="character" w:customStyle="1" w:styleId="149">
    <w:name w:val="s39"/>
    <w:basedOn w:val="20"/>
    <w:qFormat/>
    <w:uiPriority w:val="0"/>
  </w:style>
  <w:style w:type="character" w:customStyle="1" w:styleId="150">
    <w:name w:val="s40"/>
    <w:basedOn w:val="20"/>
    <w:qFormat/>
    <w:uiPriority w:val="0"/>
  </w:style>
  <w:style w:type="paragraph" w:customStyle="1" w:styleId="151">
    <w:name w:val="s42"/>
    <w:basedOn w:val="1"/>
    <w:qFormat/>
    <w:uiPriority w:val="0"/>
    <w:pPr>
      <w:widowControl/>
      <w:spacing w:before="100" w:beforeAutospacing="1" w:after="100" w:afterAutospacing="1"/>
      <w:jc w:val="left"/>
    </w:pPr>
    <w:rPr>
      <w:rFonts w:ascii="宋体" w:hAnsi="宋体" w:cs="宋体"/>
      <w:kern w:val="0"/>
      <w:sz w:val="24"/>
    </w:rPr>
  </w:style>
  <w:style w:type="character" w:customStyle="1" w:styleId="152">
    <w:name w:val="s43"/>
    <w:basedOn w:val="20"/>
    <w:qFormat/>
    <w:uiPriority w:val="0"/>
  </w:style>
  <w:style w:type="character" w:customStyle="1" w:styleId="153">
    <w:name w:val="s341"/>
    <w:basedOn w:val="20"/>
    <w:qFormat/>
    <w:uiPriority w:val="0"/>
  </w:style>
  <w:style w:type="paragraph" w:customStyle="1" w:styleId="154">
    <w:name w:val="s44"/>
    <w:basedOn w:val="1"/>
    <w:qFormat/>
    <w:uiPriority w:val="0"/>
    <w:pPr>
      <w:widowControl/>
      <w:spacing w:before="100" w:beforeAutospacing="1" w:after="100" w:afterAutospacing="1"/>
      <w:jc w:val="left"/>
    </w:pPr>
    <w:rPr>
      <w:rFonts w:ascii="宋体" w:hAnsi="宋体" w:cs="宋体"/>
      <w:kern w:val="0"/>
      <w:sz w:val="24"/>
    </w:rPr>
  </w:style>
  <w:style w:type="character" w:customStyle="1" w:styleId="155">
    <w:name w:val="s45"/>
    <w:basedOn w:val="20"/>
    <w:qFormat/>
    <w:uiPriority w:val="0"/>
  </w:style>
  <w:style w:type="character" w:customStyle="1" w:styleId="156">
    <w:name w:val="s46"/>
    <w:basedOn w:val="20"/>
    <w:qFormat/>
    <w:uiPriority w:val="0"/>
  </w:style>
  <w:style w:type="character" w:customStyle="1" w:styleId="157">
    <w:name w:val="s47"/>
    <w:basedOn w:val="20"/>
    <w:qFormat/>
    <w:uiPriority w:val="0"/>
  </w:style>
  <w:style w:type="character" w:customStyle="1" w:styleId="158">
    <w:name w:val="s48"/>
    <w:basedOn w:val="20"/>
    <w:qFormat/>
    <w:uiPriority w:val="0"/>
  </w:style>
  <w:style w:type="character" w:customStyle="1" w:styleId="159">
    <w:name w:val="s29"/>
    <w:basedOn w:val="20"/>
    <w:qFormat/>
    <w:uiPriority w:val="0"/>
  </w:style>
  <w:style w:type="character" w:customStyle="1" w:styleId="160">
    <w:name w:val="s50"/>
    <w:basedOn w:val="20"/>
    <w:qFormat/>
    <w:uiPriority w:val="0"/>
  </w:style>
  <w:style w:type="paragraph" w:customStyle="1" w:styleId="161">
    <w:name w:val="s241"/>
    <w:basedOn w:val="1"/>
    <w:qFormat/>
    <w:uiPriority w:val="0"/>
    <w:pPr>
      <w:widowControl/>
      <w:spacing w:before="100" w:beforeAutospacing="1" w:after="100" w:afterAutospacing="1"/>
      <w:jc w:val="left"/>
    </w:pPr>
    <w:rPr>
      <w:rFonts w:ascii="宋体" w:hAnsi="宋体" w:cs="宋体"/>
      <w:kern w:val="0"/>
      <w:sz w:val="24"/>
    </w:rPr>
  </w:style>
  <w:style w:type="character" w:customStyle="1" w:styleId="162">
    <w:name w:val="s51"/>
    <w:basedOn w:val="20"/>
    <w:qFormat/>
    <w:uiPriority w:val="0"/>
  </w:style>
  <w:style w:type="paragraph" w:customStyle="1" w:styleId="163">
    <w:name w:val="s5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4">
    <w:name w:val="s52"/>
    <w:basedOn w:val="1"/>
    <w:qFormat/>
    <w:uiPriority w:val="0"/>
    <w:pPr>
      <w:widowControl/>
      <w:spacing w:before="100" w:beforeAutospacing="1" w:after="100" w:afterAutospacing="1"/>
      <w:jc w:val="left"/>
    </w:pPr>
    <w:rPr>
      <w:rFonts w:ascii="宋体" w:hAnsi="宋体" w:cs="宋体"/>
      <w:kern w:val="0"/>
      <w:sz w:val="24"/>
    </w:rPr>
  </w:style>
  <w:style w:type="character" w:customStyle="1" w:styleId="165">
    <w:name w:val="s53"/>
    <w:basedOn w:val="20"/>
    <w:qFormat/>
    <w:uiPriority w:val="0"/>
  </w:style>
  <w:style w:type="paragraph" w:customStyle="1" w:styleId="166">
    <w:name w:val="s531"/>
    <w:basedOn w:val="1"/>
    <w:qFormat/>
    <w:uiPriority w:val="0"/>
    <w:pPr>
      <w:widowControl/>
      <w:spacing w:before="100" w:beforeAutospacing="1" w:after="100" w:afterAutospacing="1"/>
      <w:jc w:val="left"/>
    </w:pPr>
    <w:rPr>
      <w:rFonts w:ascii="宋体" w:hAnsi="宋体" w:cs="宋体"/>
      <w:kern w:val="0"/>
      <w:sz w:val="24"/>
    </w:rPr>
  </w:style>
  <w:style w:type="character" w:customStyle="1" w:styleId="167">
    <w:name w:val="s521"/>
    <w:basedOn w:val="20"/>
    <w:qFormat/>
    <w:uiPriority w:val="0"/>
  </w:style>
  <w:style w:type="paragraph" w:customStyle="1" w:styleId="168">
    <w:name w:val="s50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9">
    <w:name w:val="s8"/>
    <w:basedOn w:val="1"/>
    <w:qFormat/>
    <w:uiPriority w:val="0"/>
    <w:pPr>
      <w:widowControl/>
      <w:spacing w:before="100" w:beforeAutospacing="1" w:after="100" w:afterAutospacing="1"/>
      <w:jc w:val="left"/>
    </w:pPr>
    <w:rPr>
      <w:rFonts w:ascii="宋体" w:hAnsi="宋体" w:cs="宋体"/>
      <w:kern w:val="0"/>
      <w:sz w:val="24"/>
    </w:rPr>
  </w:style>
  <w:style w:type="paragraph" w:customStyle="1" w:styleId="170">
    <w:name w:val="s15"/>
    <w:basedOn w:val="1"/>
    <w:qFormat/>
    <w:uiPriority w:val="0"/>
    <w:pPr>
      <w:widowControl/>
      <w:spacing w:before="100" w:beforeAutospacing="1" w:after="100" w:afterAutospacing="1"/>
      <w:jc w:val="left"/>
    </w:pPr>
    <w:rPr>
      <w:rFonts w:ascii="宋体" w:hAnsi="宋体" w:cs="宋体"/>
      <w:kern w:val="0"/>
      <w:sz w:val="24"/>
    </w:rPr>
  </w:style>
  <w:style w:type="character" w:customStyle="1" w:styleId="171">
    <w:name w:val="h3"/>
    <w:basedOn w:val="20"/>
    <w:qFormat/>
    <w:uiPriority w:val="0"/>
  </w:style>
  <w:style w:type="paragraph" w:customStyle="1" w:styleId="172">
    <w:name w:val="s61"/>
    <w:basedOn w:val="1"/>
    <w:qFormat/>
    <w:uiPriority w:val="0"/>
    <w:pPr>
      <w:widowControl/>
      <w:spacing w:before="100" w:beforeAutospacing="1" w:after="100" w:afterAutospacing="1"/>
      <w:jc w:val="left"/>
    </w:pPr>
    <w:rPr>
      <w:rFonts w:ascii="宋体" w:hAnsi="宋体" w:cs="宋体"/>
      <w:kern w:val="0"/>
      <w:sz w:val="24"/>
    </w:rPr>
  </w:style>
  <w:style w:type="character" w:customStyle="1" w:styleId="173">
    <w:name w:val="s26"/>
    <w:basedOn w:val="20"/>
    <w:qFormat/>
    <w:uiPriority w:val="0"/>
  </w:style>
  <w:style w:type="paragraph" w:customStyle="1" w:styleId="174">
    <w:name w:val="s261"/>
    <w:basedOn w:val="1"/>
    <w:qFormat/>
    <w:uiPriority w:val="0"/>
    <w:pPr>
      <w:widowControl/>
      <w:spacing w:before="100" w:beforeAutospacing="1" w:after="100" w:afterAutospacing="1"/>
      <w:jc w:val="left"/>
    </w:pPr>
    <w:rPr>
      <w:rFonts w:ascii="宋体" w:hAnsi="宋体" w:cs="宋体"/>
      <w:kern w:val="0"/>
      <w:sz w:val="24"/>
    </w:rPr>
  </w:style>
  <w:style w:type="paragraph" w:customStyle="1" w:styleId="175">
    <w:name w:val="s291"/>
    <w:basedOn w:val="1"/>
    <w:qFormat/>
    <w:uiPriority w:val="0"/>
    <w:pPr>
      <w:widowControl/>
      <w:spacing w:before="100" w:beforeAutospacing="1" w:after="100" w:afterAutospacing="1"/>
      <w:jc w:val="left"/>
    </w:pPr>
    <w:rPr>
      <w:rFonts w:ascii="宋体" w:hAnsi="宋体" w:cs="宋体"/>
      <w:kern w:val="0"/>
      <w:sz w:val="24"/>
    </w:rPr>
  </w:style>
  <w:style w:type="character" w:customStyle="1" w:styleId="176">
    <w:name w:val="s281"/>
    <w:basedOn w:val="20"/>
    <w:qFormat/>
    <w:uiPriority w:val="0"/>
  </w:style>
  <w:style w:type="paragraph" w:customStyle="1" w:styleId="177">
    <w:name w:val="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78">
    <w:name w:val="s201"/>
    <w:basedOn w:val="1"/>
    <w:qFormat/>
    <w:uiPriority w:val="0"/>
    <w:pPr>
      <w:widowControl/>
      <w:spacing w:before="100" w:beforeAutospacing="1" w:after="100" w:afterAutospacing="1"/>
      <w:jc w:val="left"/>
    </w:pPr>
    <w:rPr>
      <w:rFonts w:ascii="宋体" w:hAnsi="宋体" w:cs="宋体"/>
      <w:kern w:val="0"/>
      <w:sz w:val="24"/>
    </w:rPr>
  </w:style>
  <w:style w:type="character" w:customStyle="1" w:styleId="179">
    <w:name w:val="s231"/>
    <w:basedOn w:val="20"/>
    <w:qFormat/>
    <w:uiPriority w:val="0"/>
  </w:style>
  <w:style w:type="character" w:customStyle="1" w:styleId="180">
    <w:name w:val="s271"/>
    <w:basedOn w:val="20"/>
    <w:qFormat/>
    <w:uiPriority w:val="0"/>
  </w:style>
  <w:style w:type="character" w:customStyle="1" w:styleId="181">
    <w:name w:val="s301"/>
    <w:basedOn w:val="20"/>
    <w:qFormat/>
    <w:uiPriority w:val="0"/>
  </w:style>
  <w:style w:type="character" w:customStyle="1" w:styleId="182">
    <w:name w:val="s351"/>
    <w:basedOn w:val="20"/>
    <w:qFormat/>
    <w:uiPriority w:val="0"/>
  </w:style>
  <w:style w:type="character" w:customStyle="1" w:styleId="183">
    <w:name w:val="fontstyle01"/>
    <w:basedOn w:val="20"/>
    <w:qFormat/>
    <w:uiPriority w:val="0"/>
    <w:rPr>
      <w:rFonts w:hint="eastAsia" w:ascii="宋体" w:hAnsi="宋体" w:eastAsia="宋体"/>
      <w:color w:val="000000"/>
      <w:sz w:val="22"/>
      <w:szCs w:val="22"/>
    </w:rPr>
  </w:style>
  <w:style w:type="character" w:customStyle="1" w:styleId="184">
    <w:name w:val="fontstyle21"/>
    <w:basedOn w:val="20"/>
    <w:qFormat/>
    <w:uiPriority w:val="0"/>
    <w:rPr>
      <w:rFonts w:hint="default" w:ascii="TimesNewRomanPSMT" w:hAnsi="TimesNewRomanPSMT"/>
      <w:color w:val="0000FF"/>
      <w:sz w:val="22"/>
      <w:szCs w:val="22"/>
    </w:rPr>
  </w:style>
  <w:style w:type="character" w:customStyle="1" w:styleId="185">
    <w:name w:val="fontstyle31"/>
    <w:basedOn w:val="20"/>
    <w:qFormat/>
    <w:uiPriority w:val="0"/>
    <w:rPr>
      <w:rFonts w:hint="default" w:ascii="TimesNewRomanPS-ItalicMT" w:hAnsi="TimesNewRomanPS-ItalicMT"/>
      <w:i/>
      <w:iCs/>
      <w:color w:val="000000"/>
      <w:sz w:val="22"/>
      <w:szCs w:val="22"/>
    </w:rPr>
  </w:style>
  <w:style w:type="character" w:customStyle="1" w:styleId="186">
    <w:name w:val="fontstyle11"/>
    <w:basedOn w:val="20"/>
    <w:qFormat/>
    <w:uiPriority w:val="0"/>
    <w:rPr>
      <w:rFonts w:hint="default" w:ascii="TimesNewRomanPSMT" w:hAnsi="TimesNewRomanPSMT"/>
      <w:color w:val="000000"/>
      <w:sz w:val="22"/>
      <w:szCs w:val="22"/>
    </w:rPr>
  </w:style>
  <w:style w:type="character" w:customStyle="1" w:styleId="187">
    <w:name w:val="fontstyle41"/>
    <w:basedOn w:val="20"/>
    <w:qFormat/>
    <w:uiPriority w:val="0"/>
    <w:rPr>
      <w:rFonts w:hint="default" w:ascii="TimesNewRomanPSMT" w:hAnsi="TimesNewRomanPSMT"/>
      <w:color w:val="000000"/>
      <w:sz w:val="20"/>
      <w:szCs w:val="20"/>
    </w:rPr>
  </w:style>
  <w:style w:type="paragraph" w:customStyle="1" w:styleId="188">
    <w:name w:val="cur"/>
    <w:basedOn w:val="1"/>
    <w:qFormat/>
    <w:uiPriority w:val="0"/>
    <w:pPr>
      <w:widowControl/>
      <w:spacing w:before="100" w:beforeAutospacing="1" w:after="100" w:afterAutospacing="1"/>
      <w:jc w:val="left"/>
    </w:pPr>
    <w:rPr>
      <w:rFonts w:ascii="宋体" w:hAnsi="宋体" w:cs="宋体"/>
      <w:kern w:val="0"/>
      <w:sz w:val="24"/>
    </w:rPr>
  </w:style>
  <w:style w:type="character" w:customStyle="1" w:styleId="189">
    <w:name w:val="shareboard"/>
    <w:basedOn w:val="20"/>
    <w:qFormat/>
    <w:uiPriority w:val="0"/>
  </w:style>
  <w:style w:type="character" w:customStyle="1" w:styleId="190">
    <w:name w:val="msqrt"/>
    <w:basedOn w:val="20"/>
    <w:qFormat/>
    <w:uiPriority w:val="0"/>
  </w:style>
  <w:style w:type="paragraph" w:customStyle="1" w:styleId="191">
    <w:name w:val="ql-align-justify"/>
    <w:basedOn w:val="1"/>
    <w:qFormat/>
    <w:uiPriority w:val="0"/>
    <w:pPr>
      <w:widowControl/>
      <w:spacing w:before="100" w:beforeAutospacing="1" w:after="100" w:afterAutospacing="1"/>
      <w:jc w:val="left"/>
    </w:pPr>
    <w:rPr>
      <w:rFonts w:ascii="宋体" w:hAnsi="宋体" w:cs="宋体"/>
      <w:kern w:val="0"/>
      <w:sz w:val="24"/>
    </w:rPr>
  </w:style>
  <w:style w:type="paragraph" w:customStyle="1" w:styleId="192">
    <w:name w:val="ql-align-cent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93">
    <w:name w:val="mtext"/>
    <w:basedOn w:val="20"/>
    <w:qFormat/>
    <w:uiPriority w:val="0"/>
  </w:style>
  <w:style w:type="character" w:customStyle="1" w:styleId="194">
    <w:name w:val="正文文本缩进 2 字符"/>
    <w:basedOn w:val="20"/>
    <w:link w:val="10"/>
    <w:semiHidden/>
    <w:qFormat/>
    <w:uiPriority w:val="99"/>
    <w:rPr>
      <w:rFonts w:ascii="Times New Roman" w:hAnsi="Times New Roman" w:eastAsia="宋体" w:cs="Times New Roman"/>
      <w:szCs w:val="24"/>
    </w:rPr>
  </w:style>
  <w:style w:type="character" w:customStyle="1" w:styleId="195">
    <w:name w:val="HTML 预设格式 字符"/>
    <w:basedOn w:val="20"/>
    <w:link w:val="16"/>
    <w:qFormat/>
    <w:uiPriority w:val="0"/>
    <w:rPr>
      <w:rFonts w:ascii="黑体" w:hAnsi="Courier New" w:eastAsia="黑体" w:cs="Courier New"/>
      <w:color w:val="000000"/>
      <w:kern w:val="0"/>
      <w:sz w:val="20"/>
      <w:szCs w:val="20"/>
    </w:rPr>
  </w:style>
  <w:style w:type="character" w:customStyle="1" w:styleId="196">
    <w:name w:val="rowtit"/>
    <w:basedOn w:val="20"/>
    <w:qFormat/>
    <w:uiPriority w:val="0"/>
  </w:style>
  <w:style w:type="character" w:customStyle="1" w:styleId="197">
    <w:name w:val="abstract-text"/>
    <w:basedOn w:val="20"/>
    <w:qFormat/>
    <w:uiPriority w:val="0"/>
  </w:style>
  <w:style w:type="paragraph" w:customStyle="1" w:styleId="198">
    <w:name w:val="keywords"/>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code-formula"/>
    <w:basedOn w:val="1"/>
    <w:qFormat/>
    <w:uiPriority w:val="0"/>
    <w:pPr>
      <w:widowControl/>
      <w:spacing w:before="100" w:beforeAutospacing="1" w:after="100" w:afterAutospacing="1"/>
      <w:jc w:val="left"/>
    </w:pPr>
    <w:rPr>
      <w:rFonts w:ascii="宋体" w:hAnsi="宋体" w:cs="宋体"/>
      <w:kern w:val="0"/>
      <w:sz w:val="24"/>
    </w:rPr>
  </w:style>
  <w:style w:type="character" w:customStyle="1" w:styleId="200">
    <w:name w:val="未处理的提及2"/>
    <w:basedOn w:val="20"/>
    <w:semiHidden/>
    <w:unhideWhenUsed/>
    <w:qFormat/>
    <w:uiPriority w:val="99"/>
    <w:rPr>
      <w:color w:val="605E5C"/>
      <w:shd w:val="clear" w:color="auto" w:fill="E1DFDD"/>
    </w:rPr>
  </w:style>
  <w:style w:type="paragraph" w:customStyle="1" w:styleId="201">
    <w:name w:val="Default"/>
    <w:unhideWhenUsed/>
    <w:qFormat/>
    <w:uiPriority w:val="99"/>
    <w:pPr>
      <w:widowControl w:val="0"/>
      <w:autoSpaceDE w:val="0"/>
      <w:autoSpaceDN w:val="0"/>
      <w:adjustRightInd w:val="0"/>
    </w:pPr>
    <w:rPr>
      <w:rFonts w:hint="eastAsia" w:ascii="宋体" w:hAnsi="宋体" w:eastAsia="宋体" w:cs="Times New Roman"/>
      <w:color w:val="000000"/>
      <w:sz w:val="24"/>
      <w:szCs w:val="24"/>
      <w:lang w:val="en-US" w:eastAsia="zh-CN" w:bidi="ar-SA"/>
    </w:rPr>
  </w:style>
  <w:style w:type="paragraph" w:customStyle="1" w:styleId="20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03">
    <w:name w:val="未处理的提及3"/>
    <w:basedOn w:val="20"/>
    <w:semiHidden/>
    <w:unhideWhenUsed/>
    <w:qFormat/>
    <w:uiPriority w:val="99"/>
    <w:rPr>
      <w:color w:val="605E5C"/>
      <w:shd w:val="clear" w:color="auto" w:fill="E1DFDD"/>
    </w:rPr>
  </w:style>
  <w:style w:type="paragraph" w:customStyle="1" w:styleId="204">
    <w:name w:val="Table Text"/>
    <w:basedOn w:val="1"/>
    <w:semiHidden/>
    <w:qFormat/>
    <w:uiPriority w:val="0"/>
    <w:rPr>
      <w:rFonts w:eastAsia="Times New Roman"/>
      <w:sz w:val="15"/>
      <w:szCs w:val="15"/>
      <w:lang w:eastAsia="en-US"/>
    </w:rPr>
  </w:style>
  <w:style w:type="table" w:customStyle="1" w:styleId="205">
    <w:name w:val="Table Normal"/>
    <w:semiHidden/>
    <w:unhideWhenUsed/>
    <w:qFormat/>
    <w:uiPriority w:val="0"/>
    <w:tblPr>
      <w:tblCellMar>
        <w:top w:w="0" w:type="dxa"/>
        <w:left w:w="0" w:type="dxa"/>
        <w:bottom w:w="0" w:type="dxa"/>
        <w:right w:w="0" w:type="dxa"/>
      </w:tblCellMar>
    </w:tblPr>
  </w:style>
  <w:style w:type="character" w:customStyle="1" w:styleId="206">
    <w:name w:val="Unresolved Mention"/>
    <w:basedOn w:val="20"/>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9" Type="http://schemas.openxmlformats.org/officeDocument/2006/relationships/fontTable" Target="fontTable.xml"/><Relationship Id="rId58" Type="http://schemas.openxmlformats.org/officeDocument/2006/relationships/customXml" Target="../customXml/item3.xml"/><Relationship Id="rId57" Type="http://schemas.openxmlformats.org/officeDocument/2006/relationships/customXml" Target="../customXml/item2.xml"/><Relationship Id="rId56" Type="http://schemas.openxmlformats.org/officeDocument/2006/relationships/customXml" Target="../customXml/item1.xml"/><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54a9d62c-5d63-49e2-b30c-3559cb1eb31c</errorID>
      <errorWord> 125%</errorWord>
      <group>L1_Word</group>
      <groupName>字词问题</groupName>
      <ability>L2_Typo</ability>
      <abilityName>字词错误</abilityName>
      <candidateList>
        <item>125% </item>
      </candidateList>
      <explain/>
      <paraID>4EF075DF</paraID>
      <start>120</start>
      <end>125</end>
      <status>modified</status>
      <modifiedWord>125% </modifiedWord>
      <trackRevisions>false</trackRevisions>
    </reviewItem>
    <reviewItem>
      <errorID>46d5d3b9-44a6-4294-bb73-8b641792abb0</errorID>
      <errorWord> 125%</errorWord>
      <group>L1_Word</group>
      <groupName>字词问题</groupName>
      <ability>L2_Typo</ability>
      <abilityName>字词错误</abilityName>
      <candidateList>
        <item>125% </item>
      </candidateList>
      <explain/>
      <paraID>4EF075DF</paraID>
      <start>135</start>
      <end>140</end>
      <status>modified</status>
      <modifiedWord>125% </modifiedWord>
      <trackRevisions>false</trackRevisions>
    </reviewItem>
    <reviewItem>
      <errorID>2274a742-911b-4647-b060-e60d1a8b1f3f</errorID>
      <errorWord>Nar</errorWord>
      <group>L1_Word</group>
      <groupName>字词问题</groupName>
      <ability>L2_Typo</ability>
      <abilityName>字词错误</abilityName>
      <candidateList>
        <item> Nar</item>
      </candidateList>
      <explain/>
      <paraID>4EF075DF</paraID>
      <start>153</start>
      <end>157</end>
      <status>modified</status>
      <modifiedWord> Nar</modifiedWord>
      <trackRevisions>false</trackRevisions>
    </reviewItem>
    <reviewItem>
      <errorID>d7040771-f743-4fe4-b0f6-4be56d913520</errorID>
      <errorWord>Nar</errorWord>
      <group>L1_Word</group>
      <groupName>字词问题</groupName>
      <ability>L2_Typo</ability>
      <abilityName>字词错误</abilityName>
      <candidateList>
        <item> Nar</item>
      </candidateList>
      <explain/>
      <paraID>4EF075DF</paraID>
      <start>168</start>
      <end>172</end>
      <status>modified</status>
      <modifiedWord> Nar</modifiedWord>
      <trackRevisions>false</trackRevisions>
    </reviewItem>
    <reviewItem>
      <errorID>19324a3f-0caf-4c46-85aa-d6fa18093b4c</errorID>
      <errorWord>的mRNA</errorWord>
      <group>L1_Grammar</group>
      <groupName>语法问题</groupName>
      <ability>L2_Grammar</ability>
      <abilityName>语法错误</abilityName>
      <candidateList>
        <item> 的mRNA</item>
      </candidateList>
      <explain/>
      <paraID>4EF075DF</paraID>
      <start>583</start>
      <end>589</end>
      <status>modified</status>
      <modifiedWord> 的mRNA</modifiedWord>
      <trackRevisions>false</trackRevisions>
    </reviewItem>
    <reviewItem>
      <errorID>41f0e4fb-bf1c-45f9-9236-40ac74e350b2</errorID>
      <errorWord>meta- bolism</errorWord>
      <group>L1_English</group>
      <groupName>英文问题</groupName>
      <ability>L2_Other_Grammar</ability>
      <abilityName>其他语法问题</abilityName>
      <candidateList>
        <item>metabolism</item>
      </candidateList>
      <explain>名词使用不当, 建议将meta- bolism修改为metabolism</explain>
      <paraID>23F49577</paraID>
      <start>120</start>
      <end>130</end>
      <status>modified</status>
      <modifiedWord>metabolism</modifiedWord>
      <trackRevisions>false</trackRevisions>
    </reviewItem>
    <reviewItem>
      <errorID>ab72f374-86e9-45b5-be5c-46b28cb669f9</errorID>
      <errorWord>O </errorWord>
      <group>L1_English</group>
      <groupName>英文问题</groupName>
      <ability>L2_Other_Grammar</ability>
      <abilityName>其他语法问题</abilityName>
      <candidateList>
        <item/>
      </candidateList>
      <explain>名词O 疑似冗余，建议删除</explain>
      <paraID>23F49577</paraID>
      <start>800</start>
      <end>800</end>
      <status>modified</status>
      <modifiedWord/>
      <trackRevisions>false</trackRevisions>
    </reviewItem>
    <reviewItem>
      <errorID>0959e30e-8c6e-46f0-85b5-c8904103519e</errorID>
      <errorWord>com- pared</errorWord>
      <group>L1_English</group>
      <groupName>英文问题</groupName>
      <ability>L2_Other_Grammar</ability>
      <abilityName>其他语法问题</abilityName>
      <candidateList>
        <item>compared</item>
      </candidateList>
      <explain>疑似单词/词组使用不当, 建议将com- pared修改为compared</explain>
      <paraID>23F49577</paraID>
      <start>1369</start>
      <end>1377</end>
      <status>modified</status>
      <modifiedWord>compared</modifiedWord>
      <trackRevisions>false</trackRevisions>
    </reviewItem>
    <reviewItem>
      <errorID>faa8a1e7-3ff7-470d-9c57-be87e1c6f935</errorID>
      <errorWord>ire1</errorWord>
      <group>L1_English</group>
      <groupName>英文问题</groupName>
      <ability>L2_Case</ability>
      <abilityName>大小写问题</abilityName>
      <candidateList>
        <item>IRE1</item>
      </candidateList>
      <explain>疑似单词大小写错误，建议将ire1修改为IRE1</explain>
      <paraID>23F49577</paraID>
      <start>1598</start>
      <end>1602</end>
      <status>modified</status>
      <modifiedWord>IRE1</modifiedWord>
      <trackRevisions>false</trackRevisions>
    </reviewItem>
    <reviewItem>
      <errorID>387dcb6e-e1c8-4fda-9649-2cca3dfa4f52</errorID>
      <errorWord>xbp1</errorWord>
      <group>L1_English</group>
      <groupName>英文问题</groupName>
      <ability>L2_Case</ability>
      <abilityName>大小写问题</abilityName>
      <candidateList>
        <item>XBP1</item>
      </candidateList>
      <explain>疑似单词大小写错误，建议将xbp1修改为XBP1</explain>
      <paraID>23F49577</paraID>
      <start>1604</start>
      <end>1608</end>
      <status>modified</status>
      <modifiedWord>XBP1</modifiedWord>
      <trackRevisions>false</trackRevisions>
    </reviewItem>
    <reviewItem>
      <errorID>1103f573-9428-42f7-a6a0-171e9089c33d</errorID>
      <errorWord>elf2α</errorWord>
      <group>L1_English</group>
      <groupName>英文问题</groupName>
      <ability>L2_Case</ability>
      <abilityName>大小写问题</abilityName>
      <candidateList>
        <item>ELF2α</item>
      </candidateList>
      <explain>疑似单词大小写错误，建议将elf2α修改为ELF2α</explain>
      <paraID>23F49577</paraID>
      <start>1610</start>
      <end>1615</end>
      <status>modified</status>
      <modifiedWord>ELF2α</modifiedWord>
      <trackRevisions>false</trackRevisions>
    </reviewItem>
    <reviewItem>
      <errorID>69dce5b6-d41b-4b4b-9a75-40d46047d77b</errorID>
      <errorWord>atf4</errorWord>
      <group>L1_English</group>
      <groupName>英文问题</groupName>
      <ability>L2_Case</ability>
      <abilityName>大小写问题</abilityName>
      <candidateList>
        <item>ATF4</item>
      </candidateList>
      <explain>疑似单词大小写错误，建议将atf4修改为ATF4</explain>
      <paraID>23F49577</paraID>
      <start>1617</start>
      <end>1621</end>
      <status>modified</status>
      <modifiedWord>ATF4</modifiedWord>
      <trackRevisions>false</trackRevisions>
    </reviewItem>
    <reviewItem>
      <errorID>24817c3c-d817-479b-8a8c-d9369190abbe</errorID>
      <errorWord>atf6</errorWord>
      <group>L1_English</group>
      <groupName>英文问题</groupName>
      <ability>L2_Case</ability>
      <abilityName>大小写问题</abilityName>
      <candidateList>
        <item>ATF6</item>
      </candidateList>
      <explain>疑似单词大小写错误，建议将atf6修改为ATF6</explain>
      <paraID>23F49577</paraID>
      <start>1623</start>
      <end>1627</end>
      <status>modified</status>
      <modifiedWord>ATF6</modifiedWord>
      <trackRevisions>false</trackRevisions>
    </reviewItem>
    <reviewItem>
      <errorID>da78b7ae-b9ad-4acf-8f82-a21c7187d0b2</errorID>
      <errorWord>grp78</errorWord>
      <group>L1_English</group>
      <groupName>英文问题</groupName>
      <ability>L2_Case</ability>
      <abilityName>大小写问题</abilityName>
      <candidateList>
        <item>GRP78</item>
      </candidateList>
      <explain>疑似单词大小写错误，建议将grp78修改为GRP78</explain>
      <paraID>23F49577</paraID>
      <start>1629</start>
      <end>1634</end>
      <status>modified</status>
      <modifiedWord>GRP78</modifiedWord>
      <trackRevisions>false</trackRevisions>
    </reviewItem>
    <reviewItem>
      <errorID>49135df5-1a1c-45c0-8a8f-412aa6bd4287</errorID>
      <errorWord>dietary</errorWord>
      <group>L1_English</group>
      <groupName>英文问题</groupName>
      <ability>L2_Case</ability>
      <abilityName>大小写问题</abilityName>
      <candidateList>
        <item>Dietary</item>
      </candidateList>
      <explain>疑似单词大小写错误，建议将dietary修改为Dietary</explain>
      <paraID>23F49577</paraID>
      <start>2007</start>
      <end>2014</end>
      <status>modified</status>
      <modifiedWord>Dietary</modifiedWord>
      <trackRevisions>false</trackRevisions>
    </reviewItem>
    <reviewItem>
      <errorID>ecc4b284-d898-4a8d-ad4d-7e054fb50e66</errorID>
      <errorWord>养殖中</errorWord>
      <group>L1_Word</group>
      <groupName>字词问题</groupName>
      <ability>L2_Typo</ability>
      <abilityName>字词错误</abilityName>
      <candidateList>
        <item>养殖</item>
      </candidateList>
      <explain/>
      <paraID>6B8AAE2A</paraID>
      <start>34</start>
      <end>36</end>
      <status>modified</status>
      <modifiedWord>养殖</modifiedWord>
      <trackRevisions>false</trackRevisions>
    </reviewItem>
    <reviewItem>
      <errorID>0f5a49cb-4b84-4af2-85ca-90493ddace90</errorID>
      <errorWord>鱼类会</errorWord>
      <group>L1_Word</group>
      <groupName>字词问题</groupName>
      <ability>L2_Typo</ability>
      <abilityName>字词错误</abilityName>
      <candidateList>
        <item>鱼类</item>
      </candidateList>
      <explain/>
      <paraID>6B8AAE2A</paraID>
      <start>108</start>
      <end>110</end>
      <status>modified</status>
      <modifiedWord>鱼类</modifiedWord>
      <trackRevisions>false</trackRevisions>
    </reviewItem>
    <reviewItem>
      <errorID>92fab371-58ba-43de-886c-fe207caf3fdd</errorID>
      <errorWord>对于</errorWord>
      <group>L1_Word</group>
      <groupName>字词问题</groupName>
      <ability>L2_Typo</ability>
      <abilityName>字词错误</abilityName>
      <candidateList>
        <item>对</item>
      </candidateList>
      <explain/>
      <paraID>5DB923C5</paraID>
      <start>103</start>
      <end>104</end>
      <status>modified</status>
      <modifiedWord>对</modifiedWord>
      <trackRevisions>false</trackRevisions>
    </reviewItem>
    <reviewItem>
      <errorID>05ce2321-7c4c-4271-b153-72c7777959ad</errorID>
      <errorWord>蛋 白质</errorWord>
      <group>L1_Word</group>
      <groupName>字词问题</groupName>
      <ability>L2_Typo</ability>
      <abilityName>字词错误</abilityName>
      <candidateList>
        <item>蛋白质</item>
      </candidateList>
      <explain/>
      <paraID>5E3DAE65</paraID>
      <start>73</start>
      <end>76</end>
      <status>modified</status>
      <modifiedWord>蛋白质</modifiedWord>
      <trackRevisions>false</trackRevisions>
    </reviewItem>
    <reviewItem>
      <errorID>b13c5f3c-7816-424e-8fcb-785212679a74</errorID>
      <errorWord> </errorWord>
      <group>L1_Punc</group>
      <groupName>标点问题</groupName>
      <ability>L2_Punc_CN</ability>
      <abilityName>标点符号问题</abilityName>
      <candidateList>
        <item/>
      </candidateList>
      <explain>此处空格冗余，建议删除。</explain>
      <paraID>5E3DAE65</paraID>
      <start>77</start>
      <end>77</end>
      <status>modified</status>
      <modifiedWord/>
      <trackRevisions>false</trackRevisions>
    </reviewItem>
    <reviewItem>
      <errorID>6af1fba6-226d-4aec-86bc-8fc6f28bbc2f</errorID>
      <errorWord> </errorWord>
      <group>L1_Punc</group>
      <groupName>标点问题</groupName>
      <ability>L2_Punc_CN</ability>
      <abilityName>标点符号问题</abilityName>
      <candidateList>
        <item/>
      </candidateList>
      <explain>此处空格冗余，建议删除。</explain>
      <paraID>5E3DAE65</paraID>
      <start>92</start>
      <end>92</end>
      <status>modified</status>
      <modifiedWord/>
      <trackRevisions>false</trackRevisions>
    </reviewItem>
    <reviewItem>
      <errorID>a2a03a18-71eb-4558-b05b-da3560d1096f</errorID>
      <errorWord> </errorWord>
      <group>L1_Punc</group>
      <groupName>标点问题</groupName>
      <ability>L2_Punc_CN</ability>
      <abilityName>标点符号问题</abilityName>
      <candidateList>
        <item/>
      </candidateList>
      <explain>此处空格冗余，建议删除。</explain>
      <paraID>5E3DAE65</paraID>
      <start>93</start>
      <end>93</end>
      <status>modified</status>
      <modifiedWord/>
      <trackRevisions>false</trackRevisions>
    </reviewItem>
    <reviewItem>
      <errorID>259dc786-8df3-40dd-af09-32c69658318c</errorID>
      <errorWord>各项</errorWord>
      <group>L1_Punc</group>
      <groupName>标点问题</groupName>
      <ability>L2_Punc_CN</ability>
      <abilityName>标点符号问题</abilityName>
      <candidateList>
        <item>，各项</item>
      </candidateList>
      <explain/>
      <paraID>1178B4E2</paraID>
      <start>192</start>
      <end>195</end>
      <status>modified</status>
      <modifiedWord>，各项</modifiedWord>
      <trackRevisions>false</trackRevisions>
    </reviewItem>
    <reviewItem>
      <errorID>02b418c0-f18d-4639-871e-b7cbd8b477bb</errorID>
      <errorWord>水温</errorWord>
      <group>L1_Punc</group>
      <groupName>标点问题</groupName>
      <ability>L2_Punc_CN</ability>
      <abilityName>标点符号问题</abilityName>
      <candidateList>
        <item>：水温</item>
      </candidateList>
      <explain/>
      <paraID>1178B4E2</paraID>
      <start>202</start>
      <end>205</end>
      <status>modified</status>
      <modifiedWord>：水温</modifiedWord>
      <trackRevisions>false</trackRevisions>
    </reviewItem>
    <reviewItem>
      <errorID>afe0b846-aa20-4838-b01a-fd98adaa94c6</errorID>
      <errorWord> </errorWord>
      <group>L1_Punc</group>
      <groupName>标点问题</groupName>
      <ability>L2_Punc_CN</ability>
      <abilityName>标点符号问题</abilityName>
      <candidateList>
        <item/>
      </candidateList>
      <explain>此处空格冗余，建议删除。</explain>
      <paraID>1178B4E2</paraID>
      <start>235</start>
      <end>235</end>
      <status>modified</status>
      <modifiedWord/>
      <trackRevisions>false</trackRevisions>
    </reviewItem>
    <reviewItem>
      <errorID>cdef476e-20e4-46d3-ba6c-a11e2dcc93ab</errorID>
      <errorWord> </errorWord>
      <group>L1_Punc</group>
      <groupName>标点问题</groupName>
      <ability>L2_Punc_CN</ability>
      <abilityName>标点符号问题</abilityName>
      <candidateList>
        <item/>
      </candidateList>
      <explain>此处空格冗余，建议删除。</explain>
      <paraID>1178B4E2</paraID>
      <start>240</start>
      <end>240</end>
      <status>modified</status>
      <modifiedWord/>
      <trackRevisions>false</trackRevisions>
    </reviewItem>
    <reviewItem>
      <errorID>6b7c3830-c9d1-43fb-bb8b-a50612320596</errorID>
      <errorWord> </errorWord>
      <group>L1_Punc</group>
      <groupName>标点问题</groupName>
      <ability>L2_Punc_CN</ability>
      <abilityName>标点符号问题</abilityName>
      <candidateList>
        <item/>
      </candidateList>
      <explain>此处空格冗余，建议删除。</explain>
      <paraID>1178B4E2</paraID>
      <start>243</start>
      <end>243</end>
      <status>modified</status>
      <modifiedWord/>
      <trackRevisions>false</trackRevisions>
    </reviewItem>
    <reviewItem>
      <errorID>04c86d1c-83b4-47f7-8a9a-1163115264ef</errorID>
      <errorWord> 氨 氮</errorWord>
      <group>L1_Grammar</group>
      <groupName>语法问题</groupName>
      <ability>L2_Grammar</ability>
      <abilityName>语法错误</abilityName>
      <candidateList>
        <item>氨氮</item>
      </candidateList>
      <explain/>
      <paraID>1178B4E2</paraID>
      <start>254</start>
      <end>256</end>
      <status>modified</status>
      <modifiedWord>氨氮</modifiedWord>
      <trackRevisions>false</trackRevisions>
    </reviewItem>
    <reviewItem>
      <errorID>ce102731-038a-4a65-8f6b-1a93854b9d7c</errorID>
      <errorWord> 亚 硝 酸 盐 </errorWord>
      <group>L1_Grammar</group>
      <groupName>语法问题</groupName>
      <ability>L2_Grammar</ability>
      <abilityName>语法错误</abilityName>
      <candidateList>
        <item>亚硝酸盐</item>
      </candidateList>
      <explain/>
      <paraID>1178B4E2</paraID>
      <start>274</start>
      <end>278</end>
      <status>modified</status>
      <modifiedWord>亚硝酸盐</modifiedWord>
      <trackRevisions>false</trackRevisions>
    </reviewItem>
    <reviewItem>
      <errorID>78b07d55-ff0d-434b-bf26-b3ee7d7494a5</errorID>
      <errorWord> 高 于</errorWord>
      <group>L1_Grammar</group>
      <groupName>语法问题</groupName>
      <ability>L2_Grammar</ability>
      <abilityName>语法错误</abilityName>
      <candidateList>
        <item>高于</item>
      </candidateList>
      <explain/>
      <paraID>1178B4E2</paraID>
      <start>279</start>
      <end>281</end>
      <status>modified</status>
      <modifiedWord>高于</modifiedWord>
      <trackRevisions>false</trackRevisions>
    </reviewItem>
    <reviewItem>
      <errorID>beaf7473-91b6-4aaa-9784-06fe06391d95</errorID>
      <errorWord> </errorWord>
      <group>L1_Punc</group>
      <groupName>标点问题</groupName>
      <ability>L2_Punc_CN</ability>
      <abilityName>标点符号问题</abilityName>
      <candidateList>
        <item/>
      </candidateList>
      <explain>此处空格冗余，建议删除。</explain>
      <paraID>4D135425</paraID>
      <start>48</start>
      <end>48</end>
      <status>modified</status>
      <modifiedWord/>
      <trackRevisions>false</trackRevisions>
    </reviewItem>
    <reviewItem>
      <errorID>c33e3caf-5df7-4270-8f77-10cec83a5722</errorID>
      <errorWord> 生 物科 技 有 限公 司 进 行</errorWord>
      <group>L1_Grammar</group>
      <groupName>语法问题</groupName>
      <ability>L2_Grammar</ability>
      <abilityName>语法错误</abilityName>
      <candidateList>
        <item>生物科技股份有限公司进行</item>
      </candidateList>
      <explain/>
      <paraID>4D135425</paraID>
      <start>49</start>
      <end>61</end>
      <status>modified</status>
      <modifiedWord>生物科技股份有限公司进行</modifiedWord>
      <trackRevisions>false</trackRevisions>
    </reviewItem>
    <reviewItem>
      <errorID>c2eb1794-f9c5-4fa1-922a-1e6a203f0daa</errorID>
      <errorWord>E 染</errorWord>
      <group>L1_Grammar</group>
      <groupName>语法问题</groupName>
      <ability>L2_Grammar</ability>
      <abilityName>语法错误</abilityName>
      <candidateList>
        <item>E</item>
      </candidateList>
      <explain/>
      <paraID>4D135425</paraID>
      <start>64</start>
      <end>65</end>
      <status>modified</status>
      <modifiedWord>E</modifiedWord>
      <trackRevisions>false</trackRevisions>
    </reviewItem>
    <reviewItem>
      <errorID>0b89da8a-aee8-4527-a94c-affb3f03a3f8</errorID>
      <errorWord>使</errorWord>
      <group>L1_Word</group>
      <groupName>字词问题</groupName>
      <ability>L2_Typo</ability>
      <abilityName>字词错误</abilityName>
      <candidateList>
        <item>使用</item>
      </candidateList>
      <explain/>
      <paraID>4D135425</paraID>
      <start>69</start>
      <end>71</end>
      <status>modified</status>
      <modifiedWord>使用</modifiedWord>
      <trackRevisions>false</trackRevisions>
    </reviewItem>
    <reviewItem>
      <errorID>22cd245a-47c7-4502-8b00-3ec4c4fb24b7</errorID>
      <errorWord>用Olympus</errorWord>
      <group>L1_Word</group>
      <groupName>字词问题</groupName>
      <ability>L2_Typo</ability>
      <abilityName>字词错误</abilityName>
      <candidateList>
        <item>Olympus</item>
      </candidateList>
      <explain/>
      <paraID>4D135425</paraID>
      <start>72</start>
      <end>79</end>
      <status>modified</status>
      <modifiedWord>Olympus</modifiedWord>
      <trackRevisions>false</trackRevisions>
    </reviewItem>
    <reviewItem>
      <errorID>4841a4be-80d3-4a8e-be32-24e93bb56077</errorID>
      <errorWord> </errorWord>
      <group>L1_Punc</group>
      <groupName>标点问题</groupName>
      <ability>L2_Punc_CN</ability>
      <abilityName>标点符号问题</abilityName>
      <candidateList>
        <item/>
      </candidateList>
      <explain>此处空格冗余，建议删除。</explain>
      <paraID>4D135425</paraID>
      <start>92</start>
      <end>92</end>
      <status>modified</status>
      <modifiedWord/>
      <trackRevisions>false</trackRevisions>
    </reviewItem>
    <reviewItem>
      <errorID>b4822586-4e47-4c0c-9877-161d1cbf5419</errorID>
      <errorWord> </errorWord>
      <group>L1_Punc</group>
      <groupName>标点问题</groupName>
      <ability>L2_Punc_CN</ability>
      <abilityName>标点符号问题</abilityName>
      <candidateList>
        <item/>
      </candidateList>
      <explain>此处空格冗余，建议删除。</explain>
      <paraID>4D135425</paraID>
      <start>100</start>
      <end>100</end>
      <status>modified</status>
      <modifiedWord/>
      <trackRevisions>false</trackRevisions>
    </reviewItem>
    <reviewItem>
      <errorID>55ba07c1-3ddf-45be-aefc-45e7ed9e6723</errorID>
      <errorWord> </errorWord>
      <group>L1_Punc</group>
      <groupName>标点问题</groupName>
      <ability>L2_Punc_CN</ability>
      <abilityName>标点符号问题</abilityName>
      <candidateList>
        <item>，</item>
      </candidateList>
      <explain/>
      <paraID>5A72C620</paraID>
      <start>108</start>
      <end>109</end>
      <status>modified</status>
      <modifiedWord>，</modifiedWord>
      <trackRevisions>false</trackRevisions>
    </reviewItem>
    <reviewItem>
      <errorID>baa9a821-4016-48d1-94f3-021eea23caf4</errorID>
      <errorWord>Lour- mat</errorWord>
      <group>L1_English</group>
      <groupName>英文问题</groupName>
      <ability>L2_Other_Grammar</ability>
      <abilityName>其他语法问题</abilityName>
      <candidateList>
        <item>Lourmat</item>
      </candidateList>
      <explain>名词使用不当, 建议将Lour- mat修改为Lourmat</explain>
      <paraID>5A72C620</paraID>
      <start>460</start>
      <end>467</end>
      <status>modified</status>
      <modifiedWord>Lourmat</modifiedWord>
      <trackRevisions>false</trackRevisions>
    </reviewItem>
    <reviewItem>
      <errorID>ad3b3e9a-0bf8-49c8-9cc1-a8f9fe9c043e</errorID>
      <errorWord>mm3</errorWord>
      <group>L1_Word</group>
      <groupName>字词问题</groupName>
      <ability>L2_Typo</ability>
      <abilityName>字词错误</abilityName>
      <candidateList>
        <item>mm³</item>
      </candidateList>
      <explain/>
      <paraID>70604AB0</paraID>
      <start>67</start>
      <end>70</end>
      <status>modified</status>
      <modifiedWord>mm³</modifiedWord>
      <trackRevisions>false</trackRevisions>
    </reviewItem>
    <reviewItem>
      <errorID>b7d69871-df26-4250-b621-f4c534ed9c43</errorID>
      <errorWord>mm2 </errorWord>
      <group>L1_Word</group>
      <groupName>字词问题</groupName>
      <ability>L2_Typo</ability>
      <abilityName>字词错误</abilityName>
      <candidateList>
        <item>mm²</item>
      </candidateList>
      <explain/>
      <paraID>70604AB0</paraID>
      <start>80</start>
      <end>83</end>
      <status>modified</status>
      <modifiedWord>mm²</modifiedWord>
      <trackRevisions>false</trackRevisions>
    </reviewItem>
    <reviewItem>
      <errorID>ac58aef4-f2d1-46cf-b912-d6c73dfa62cb</errorID>
      <errorWord>并</errorWord>
      <group>L1_Punc</group>
      <groupName>标点问题</groupName>
      <ability>L2_Punc_CN</ability>
      <abilityName>标点符号问题</abilityName>
      <candidateList>
        <item>，并</item>
      </candidateList>
      <explain/>
      <paraID>70604AB0</paraID>
      <start>88</start>
      <end>90</end>
      <status>modified</status>
      <modifiedWord>，并</modifiedWord>
      <trackRevisions>false</trackRevisions>
    </reviewItem>
    <reviewItem>
      <errorID>bb1029cc-866d-4e75-800b-29b8578dbfa4</errorID>
      <errorWord>或者</errorWord>
      <group>L1_Word</group>
      <groupName>字词问题</groupName>
      <ability>L2_Typo</ability>
      <abilityName>字词错误</abilityName>
      <candidateList>
        <item>或</item>
      </candidateList>
      <explain/>
      <paraID>70604AB0</paraID>
      <start>115</start>
      <end>116</end>
      <status>modified</status>
      <modifiedWord>或</modifiedWord>
      <trackRevisions>false</trackRevisions>
    </reviewItem>
    <reviewItem>
      <errorID>c7a4064a-fbfb-4040-a486-16b503a1e030</errorID>
      <errorWord> </errorWord>
      <group>L1_Word</group>
      <groupName>字词问题</groupName>
      <ability>L2_Typo</ability>
      <abilityName>字词错误</abilityName>
      <candidateList>
        <item>用 </item>
      </candidateList>
      <explain/>
      <paraID>70604AB0</paraID>
      <start>121</start>
      <end>123</end>
      <status>modified</status>
      <modifiedWord>用 </modifiedWord>
      <trackRevisions>false</trackRevisions>
    </reviewItem>
    <reviewItem>
      <errorID>219cc521-8726-4f7d-994e-38e6b4adaf67</errorID>
      <errorWord>，</errorWord>
      <group>L1_Word</group>
      <groupName>字词问题</groupName>
      <ability>L2_Typo</ability>
      <abilityName>字词错误</abilityName>
      <candidateList>
        <item>；用</item>
      </candidateList>
      <explain/>
      <paraID>70604AB0</paraID>
      <start>144</start>
      <end>146</end>
      <status>modified</status>
      <modifiedWord>；用</modifiedWord>
      <trackRevisions>false</trackRevisions>
    </reviewItem>
    <reviewItem>
      <errorID>c0a14c08-5e95-447c-aeb5-b493283eba1b</errorID>
      <errorWord>次，</errorWord>
      <group>L1_Word</group>
      <groupName>字词问题</groupName>
      <ability>L2_Typo</ability>
      <abilityName>字词错误</abilityName>
      <candidateList>
        <item>次。</item>
      </candidateList>
      <explain/>
      <paraID>70604AB0</paraID>
      <start>184</start>
      <end>186</end>
      <status>modified</status>
      <modifiedWord>次。</modifiedWord>
      <trackRevisions>false</trackRevisions>
    </reviewItem>
    <reviewItem>
      <errorID>b9f6574a-a81c-4b6b-9c0c-eab019740d8d</errorID>
      <errorWord> </errorWord>
      <group>L1_Punc</group>
      <groupName>标点问题</groupName>
      <ability>L2_Punc_CN</ability>
      <abilityName>标点符号问题</abilityName>
      <candidateList>
        <item/>
      </candidateList>
      <explain>此处空格冗余，建议删除。</explain>
      <paraID>70604AB0</paraID>
      <start>206</start>
      <end>206</end>
      <status>modified</status>
      <modifiedWord/>
      <trackRevisions>false</trackRevisions>
    </reviewItem>
    <reviewItem>
      <errorID>f4e06647-91d3-4eb5-95f0-bf4326e15438</errorID>
      <errorWord> </errorWord>
      <group>L1_Punc</group>
      <groupName>标点问题</groupName>
      <ability>L2_Punc_CN</ability>
      <abilityName>标点符号问题</abilityName>
      <candidateList>
        <item/>
      </candidateList>
      <explain>此处空格冗余，建议删除。</explain>
      <paraID>70604AB0</paraID>
      <start>227</start>
      <end>227</end>
      <status>modified</status>
      <modifiedWord/>
      <trackRevisions>false</trackRevisions>
    </reviewItem>
    <reviewItem>
      <errorID>f062d3ca-2727-482a-9ab3-8211c5e5aa11</errorID>
      <errorWord> ，90% 乙醇和 90% 丙酮等比溶液</errorWord>
      <group>L1_Word</group>
      <groupName>字词问题</groupName>
      <ability>L2_Typo</ability>
      <abilityName>字词错误</abilityName>
      <candidateList>
        <item>，90% 乙醇和 90% 丙酮等比溶液</item>
      </candidateList>
      <explain/>
      <paraID>70604AB0</paraID>
      <start>248</start>
      <end>267</end>
      <status>modified</status>
      <modifiedWord>，90% 乙醇和 90% 丙酮等比溶液</modifiedWord>
      <trackRevisions>false</trackRevisions>
    </reviewItem>
    <reviewItem>
      <errorID>65ba5474-e78a-4497-875a-0802495c17c9</errorID>
      <errorWord> ，90% 丙酮</errorWord>
      <group>L1_Word</group>
      <groupName>字词问题</groupName>
      <ability>L2_Typo</ability>
      <abilityName>字词错误</abilityName>
      <candidateList>
        <item>，90% 丙酮</item>
      </candidateList>
      <explain/>
      <paraID>70604AB0</paraID>
      <start>280</start>
      <end>287</end>
      <status>modified</status>
      <modifiedWord>，90% 丙酮</modifiedWord>
      <trackRevisions>false</trackRevisions>
    </reviewItem>
    <reviewItem>
      <errorID>70d150fe-2aad-4320-8be7-ac26ff43f4ce</errorID>
      <errorWord> ，100% 丙酮室温作用 3 次，每次</errorWord>
      <group>L1_Word</group>
      <groupName>字词问题</groupName>
      <ability>L2_Typo</ability>
      <abilityName>字词错误</abilityName>
      <candidateList>
        <item>，100% 丙酮室温作用 3 次，每次</item>
      </candidateList>
      <explain/>
      <paraID>70604AB0</paraID>
      <start>300</start>
      <end>319</end>
      <status>modified</status>
      <modifiedWord>，100% 丙酮室温作用 3 次，每次</modifiedWord>
      <trackRevisions>false</trackRevisions>
    </reviewItem>
    <reviewItem>
      <errorID>28b25ce5-be1f-4949-bd6d-ea1f6b3fa5b6</errorID>
      <errorWord>，</errorWord>
      <group>L1_Punc</group>
      <groupName>标点问题</groupName>
      <ability>L2_Punc_CN</ability>
      <abilityName>标点符号问题</abilityName>
      <candidateList>
        <item>。</item>
      </candidateList>
      <explain/>
      <paraID>70604AB0</paraID>
      <start>325</start>
      <end>326</end>
      <status>modified</status>
      <modifiedWord>。</modifiedWord>
      <trackRevisions>false</trackRevisions>
    </reviewItem>
    <reviewItem>
      <errorID>07cc7a32-5a53-4463-a545-47e3981908cf</errorID>
      <errorWord>2</errorWord>
      <group>L1_Word</group>
      <groupName>字词问题</groupName>
      <ability>L2_Typo</ability>
      <abilityName>字词错误</abilityName>
      <candidateList>
        <item> 2</item>
      </candidateList>
      <explain/>
      <paraID>70604AB0</paraID>
      <start>370</start>
      <end>372</end>
      <status>modified</status>
      <modifiedWord> 2</modifiedWord>
      <trackRevisions>false</trackRevisions>
    </reviewItem>
    <reviewItem>
      <errorID>d1667e4f-ee34-421b-a342-74ff3a7205e4</errorID>
      <errorWord>，</errorWord>
      <group>L1_Punc</group>
      <groupName>标点问题</groupName>
      <ability>L2_Punc_CN</ability>
      <abilityName>标点符号问题</abilityName>
      <candidateList>
        <item>。</item>
      </candidateList>
      <explain/>
      <paraID>70604AB0</paraID>
      <start>387</start>
      <end>388</end>
      <status>modified</status>
      <modifiedWord>。</modifiedWord>
      <trackRevisions>false</trackRevisions>
    </reviewItem>
    <reviewItem>
      <errorID>36275575-8311-472b-8cd6-520ad0fbbf08</errorID>
      <errorWord>纯</errorWord>
      <group>L1_Word</group>
      <groupName>字词问题</groupName>
      <ability>L2_Typo</ability>
      <abilityName>字词错误</abilityName>
      <candidateList>
        <item>用纯</item>
      </candidateList>
      <explain/>
      <paraID>70604AB0</paraID>
      <start>396</start>
      <end>398</end>
      <status>modified</status>
      <modifiedWord>用纯</modifiedWord>
      <trackRevisions>false</trackRevisions>
    </reviewItem>
    <reviewItem>
      <errorID>4ee6b2b2-2cff-4eb6-8058-4037ebc4c530</errorID>
      <errorWord>于</errorWord>
      <group>L1_Punc</group>
      <groupName>标点问题</groupName>
      <ability>L2_Punc_CN</ability>
      <abilityName>标点符号问题</abilityName>
      <candidateList>
        <item>，于</item>
      </candidateList>
      <explain/>
      <paraID>70604AB0</paraID>
      <start>409</start>
      <end>411</end>
      <status>modified</status>
      <modifiedWord>，于</modifiedWord>
      <trackRevisions>false</trackRevisions>
    </reviewItem>
    <reviewItem>
      <errorID>05b4b2ac-ab59-46f5-bfac-8fbd7169563a</errorID>
      <errorWord> </errorWord>
      <group>L1_Punc</group>
      <groupName>标点问题</groupName>
      <ability>L2_Punc_CN</ability>
      <abilityName>标点符号问题</abilityName>
      <candidateList>
        <item/>
      </candidateList>
      <explain>此处空格冗余，建议删除。</explain>
      <paraID>70604AB0</paraID>
      <start>434</start>
      <end>434</end>
      <status>modified</status>
      <modifiedWord/>
      <trackRevisions>false</trackRevisions>
    </reviewItem>
    <reviewItem>
      <errorID>bb10f604-0159-40aa-a8b6-e25caa527a14</errorID>
      <errorWord> 60 ℃</errorWord>
      <group>L1_Word</group>
      <groupName>字词问题</groupName>
      <ability>L2_Typo</ability>
      <abilityName>字词错误</abilityName>
      <candidateList>
        <item>60 ℃ </item>
      </candidateList>
      <explain/>
      <paraID>70604AB0</paraID>
      <start>435</start>
      <end>440</end>
      <status>modified</status>
      <modifiedWord>60 ℃ </modifiedWord>
      <trackRevisions>false</trackRevisions>
    </reviewItem>
    <reviewItem>
      <errorID>1246f33f-6bde-479c-9a70-943fde4d651e</errorID>
      <errorWord>，</errorWord>
      <group>L1_Punc</group>
      <groupName>标点问题</groupName>
      <ability>L2_Punc_CN</ability>
      <abilityName>标点符号问题</abilityName>
      <candidateList>
        <item>。</item>
      </candidateList>
      <explain/>
      <paraID>70604AB0</paraID>
      <start>447</start>
      <end>448</end>
      <status>modified</status>
      <modifiedWord>。</modifiedWord>
      <trackRevisions>false</trackRevisions>
    </reviewItem>
    <reviewItem>
      <errorID>9f607bb3-4ad4-4102-9000-8f1a1c1792b9</errorID>
      <errorWord>І</errorWord>
      <group>L1_Word</group>
      <groupName>字词问题</groupName>
      <ability>L2_Typo</ability>
      <abilityName>字词错误</abilityName>
      <candidateList>
        <item>Ⅰ </item>
      </candidateList>
      <explain/>
      <paraID>70604AB0</paraID>
      <start>455</start>
      <end>457</end>
      <status>modified</status>
      <modifiedWord>Ⅰ </modifiedWord>
      <trackRevisions>false</trackRevisions>
    </reviewItem>
    <reviewItem>
      <errorID>3efe3171-2ad9-43e3-a05b-ce9be3fb6264</errorID>
      <errorWord>使用</errorWord>
      <group>L1_Punc</group>
      <groupName>标点问题</groupName>
      <ability>L2_Punc_CN</ability>
      <abilityName>标点符号问题</abilityName>
      <candidateList>
        <item>，使用</item>
      </candidateList>
      <explain/>
      <paraID>70604AB0</paraID>
      <start>498</start>
      <end>501</end>
      <status>modified</status>
      <modifiedWord>，使用</modifiedWord>
      <trackRevisions>false</trackRevisions>
    </reviewItem>
    <reviewItem>
      <errorID>0ca6df3f-d742-464f-aeb5-4c94576c2c0e</errorID>
      <errorWord>，</errorWord>
      <group>L1_Word</group>
      <groupName>字词问题</groupName>
      <ability>L2_Typo</ability>
      <abilityName>字词错误</abilityName>
      <candidateList>
        <item>并</item>
      </candidateList>
      <explain/>
      <paraID>70604AB0</paraID>
      <start>507</start>
      <end>508</end>
      <status>modified</status>
      <modifiedWord>并</modifiedWord>
      <trackRevisions>false</trackRevisions>
    </reviewItem>
    <reviewItem>
      <errorID>11ee6be9-3ec9-4285-8c7c-7d3a2571e92b</errorID>
      <errorWord> 以平均数 ±</errorWord>
      <group>L1_Word</group>
      <groupName>字词问题</groupName>
      <ability>L2_Typo</ability>
      <abilityName>字词错误</abilityName>
      <candidateList>
        <item>以平均数 ± </item>
      </candidateList>
      <explain/>
      <paraID> 99FD545</paraID>
      <start>4</start>
      <end>11</end>
      <status>modified</status>
      <modifiedWord>以平均数 ± </modifiedWord>
      <trackRevisions>false</trackRevisions>
    </reviewItem>
    <reviewItem>
      <errorID>815c9599-cae8-4d04-a8f7-e767fbc05071</errorID>
      <errorWord> ，并采用</errorWord>
      <group>L1_Word</group>
      <groupName>字词问题</groupName>
      <ability>L2_Typo</ability>
      <abilityName>字词错误</abilityName>
      <candidateList>
        <item>，并采用</item>
      </candidateList>
      <explain/>
      <paraID> 99FD545</paraID>
      <start>16</start>
      <end>20</end>
      <status>modified</status>
      <modifiedWord>，并采用</modifiedWord>
      <trackRevisions>false</trackRevisions>
    </reviewItem>
    <reviewItem>
      <errorID>fd404d1e-e13d-423c-8bc9-29cd6e45ef13</errorID>
      <errorWord>进行</errorWord>
      <group>L1_Word</group>
      <groupName>字词问题</groupName>
      <ability>L2_Typo</ability>
      <abilityName>字词错误</abilityName>
      <candidateList>
        <item> 进行</item>
      </candidateList>
      <explain/>
      <paraID> 99FD545</paraID>
      <start>42</start>
      <end>45</end>
      <status>modified</status>
      <modifiedWord> 进行</modifiedWord>
      <trackRevisions>false</trackRevisions>
    </reviewItem>
    <reviewItem>
      <errorID>a3fa35f8-94c8-4c07-a717-72a9e8d7c5b5</errorID>
      <errorWord>Stu- dent's</errorWord>
      <group>L1_English</group>
      <groupName>英文问题</groupName>
      <ability>L2_Other_Grammar</ability>
      <abilityName>其他语法问题</abilityName>
      <candidateList>
        <item>Student's</item>
      </candidateList>
      <explain>名词使用不当, 建议将Stu- dent's修改为Student's</explain>
      <paraID> 99FD545</paraID>
      <start>80</start>
      <end>89</end>
      <status>modified</status>
      <modifiedWord>Student's</modifiedWord>
      <trackRevisions>false</trackRevisions>
    </reviewItem>
    <reviewItem>
      <errorID>e4b6a141-ae13-443b-a17c-413d0c6eb5ea</errorID>
      <errorWord>对照</errorWord>
      <group>L1_Word</group>
      <groupName>字词问题</groupName>
      <ability>L2_Typo</ability>
      <abilityName>字词错误</abilityName>
      <candidateList>
        <item>对照组</item>
      </candidateList>
      <explain/>
      <paraID>20622A81</paraID>
      <start>149</start>
      <end>152</end>
      <status>modified</status>
      <modifiedWord>对照组</modifiedWord>
      <trackRevisions>false</trackRevisions>
    </reviewItem>
    <reviewItem>
      <errorID>b6cef9de-3fb3-4476-b9a4-605d8952cf24</errorID>
      <errorWord>cpt1 </errorWord>
      <group>L1_Word</group>
      <groupName>字词问题</groupName>
      <ability>L2_Typo</ability>
      <abilityName>字词错误</abilityName>
      <candidateList>
        <item>cpt1</item>
      </candidateList>
      <explain/>
      <paraID>20622A81</paraID>
      <start>170</start>
      <end>174</end>
      <status>modified</status>
      <modifiedWord>cpt1</modifiedWord>
      <trackRevisions>false</trackRevisions>
    </reviewItem>
    <reviewItem>
      <errorID>b46a9090-539a-4be9-ba46-c81303758af2</errorID>
      <errorWord> </errorWord>
      <group>L1_Punc</group>
      <groupName>标点问题</groupName>
      <ability>L2_Punc_CN</ability>
      <abilityName>标点符号问题</abilityName>
      <candidateList>
        <item/>
      </candidateList>
      <explain>此处空格冗余，建议删除。</explain>
      <paraID>20622A81</paraID>
      <start>179</start>
      <end>179</end>
      <status>modified</status>
      <modifiedWord/>
      <trackRevisions>false</trackRevisions>
    </reviewItem>
    <reviewItem>
      <errorID>e2694da8-733f-40c9-9501-98169203ce64</errorID>
      <errorWord> </errorWord>
      <group>L1_Punc</group>
      <groupName>标点问题</groupName>
      <ability>L2_Punc_CN</ability>
      <abilityName>标点符号问题</abilityName>
      <candidateList>
        <item/>
      </candidateList>
      <explain>此处空格冗余，建议删除。</explain>
      <paraID>20622A81</paraID>
      <start>205</start>
      <end>205</end>
      <status>modified</status>
      <modifiedWord/>
      <trackRevisions>false</trackRevisions>
    </reviewItem>
    <reviewItem>
      <errorID>51e21e96-cf9f-4317-810e-688efd9beb6f</errorID>
      <errorWord> </errorWord>
      <group>L1_Punc</group>
      <groupName>标点问题</groupName>
      <ability>L2_Punc_CN</ability>
      <abilityName>标点符号问题</abilityName>
      <candidateList>
        <item/>
      </candidateList>
      <explain>此处空格冗余，建议删除。</explain>
      <paraID>20622A81</paraID>
      <start>216</start>
      <end>216</end>
      <status>modified</status>
      <modifiedWord/>
      <trackRevisions>false</trackRevisions>
    </reviewItem>
    <reviewItem>
      <errorID>638471f5-f4ef-4ac4-92ae-e4b8aba27bb6</errorID>
      <errorWord>srecp 1</errorWord>
      <group>L1_Word</group>
      <groupName>字词问题</groupName>
      <ability>L2_Typo</ability>
      <abilityName>字词错误</abilityName>
      <candidateList>
        <item>srecp1</item>
      </candidateList>
      <explain/>
      <paraID>20622A81</paraID>
      <start>217</start>
      <end>223</end>
      <status>modified</status>
      <modifiedWord>srecp1</modifiedWord>
      <trackRevisions>false</trackRevisions>
    </reviewItem>
    <reviewItem>
      <errorID>5639ec9f-4b77-489d-9e48-f13969485bc7</errorID>
      <errorWord>显著提高 cpt1 </errorWord>
      <group>L1_Word</group>
      <groupName>字词问题</groupName>
      <ability>L2_Typo</ability>
      <abilityName>字词错误</abilityName>
      <candidateList>
        <item>显著提高 cpt1</item>
      </candidateList>
      <explain/>
      <paraID>20622A81</paraID>
      <start>243</start>
      <end>252</end>
      <status>modified</status>
      <modifiedWord>显著提高 cpt1</modifiedWord>
      <trackRevisions>false</trackRevisions>
    </reviewItem>
    <reviewItem>
      <errorID>dfdb121e-0052-4013-96aa-4634c00a4e07</errorID>
      <errorWord> </errorWord>
      <group>L1_Punc</group>
      <groupName>标点问题</groupName>
      <ability>L2_Punc_CN</ability>
      <abilityName>标点符号问题</abilityName>
      <candidateList>
        <item/>
      </candidateList>
      <explain>此处空格冗余，建议删除。</explain>
      <paraID>20622A81</paraID>
      <start>257</start>
      <end>257</end>
      <status>modified</status>
      <modifiedWord/>
      <trackRevisions>false</trackRevisions>
    </reviewItem>
    <reviewItem>
      <errorID>a278ffd6-24e8-48bd-b92d-22fa3ea5edf2</errorID>
      <errorWord>mRNA表</errorWord>
      <group>L1_Word</group>
      <groupName>字词问题</groupName>
      <ability>L2_Typo</ability>
      <abilityName>字词错误</abilityName>
      <candidateList>
        <item>mRNA</item>
      </candidateList>
      <explain/>
      <paraID>20622A81</paraID>
      <start>275</start>
      <end>279</end>
      <status>modified</status>
      <modifiedWord>mRNA</modifiedWord>
      <trackRevisions>false</trackRevisions>
    </reviewItem>
    <reviewItem>
      <errorID>c5be9844-9b26-42e5-b609-c9b03f8581e1</errorID>
      <errorWord> 降 低</errorWord>
      <group>L1_Grammar</group>
      <groupName>语法问题</groupName>
      <ability>L2_Grammar</ability>
      <abilityName>语法错误</abilityName>
      <candidateList>
        <item>降低</item>
      </candidateList>
      <explain/>
      <paraID>20622A81</paraID>
      <start>283</start>
      <end>285</end>
      <status>modified</status>
      <modifiedWord>降低</modifiedWord>
      <trackRevisions>false</trackRevisions>
    </reviewItem>
    <reviewItem>
      <errorID>493a8469-8f7a-4481-b0cb-e25897d89abf</errorID>
      <errorWord> </errorWord>
      <group>L1_Punc</group>
      <groupName>标点问题</groupName>
      <ability>L2_Punc_CN</ability>
      <abilityName>标点符号问题</abilityName>
      <candidateList>
        <item/>
      </candidateList>
      <explain>此处空格冗余，建议删除。</explain>
      <paraID>20622A81</paraID>
      <start>290</start>
      <end>290</end>
      <status>modified</status>
      <modifiedWord/>
      <trackRevisions>false</trackRevisions>
    </reviewItem>
    <reviewItem>
      <errorID>d1bf60c2-3dfb-4266-a96e-16a03cd044b9</errorID>
      <errorWord> </errorWord>
      <group>L1_Punc</group>
      <groupName>标点问题</groupName>
      <ability>L2_Punc_CN</ability>
      <abilityName>标点符号问题</abilityName>
      <candidateList>
        <item/>
      </candidateList>
      <explain>此处空格冗余，建议删除。</explain>
      <paraID>20622A81</paraID>
      <start>294</start>
      <end>294</end>
      <status>modified</status>
      <modifiedWord/>
      <trackRevisions>false</trackRevisions>
    </reviewItem>
    <reviewItem>
      <errorID>d3f245f0-6fad-45f7-a4f5-60eb7fd04b5d</errorID>
      <errorWord> </errorWord>
      <group>L1_Punc</group>
      <groupName>标点问题</groupName>
      <ability>L2_Punc_CN</ability>
      <abilityName>标点符号问题</abilityName>
      <candidateList>
        <item/>
      </candidateList>
      <explain>此处空格冗余，建议删除。</explain>
      <paraID>20622A81</paraID>
      <start>299</start>
      <end>299</end>
      <status>modified</status>
      <modifiedWord/>
      <trackRevisions>false</trackRevisions>
    </reviewItem>
    <reviewItem>
      <errorID>55047a7c-cdba-4c94-a663-b78471333dff</errorID>
      <errorWord>srecp 1 </errorWord>
      <group>L1_Grammar</group>
      <groupName>语法问题</groupName>
      <ability>L2_Grammar</ability>
      <abilityName>语法错误</abilityName>
      <candidateList>
        <item>srecp1</item>
      </candidateList>
      <explain/>
      <paraID>20622A81</paraID>
      <start>300</start>
      <end>306</end>
      <status>modified</status>
      <modifiedWord>srecp1</modifiedWord>
      <trackRevisions>false</trackRevisions>
    </reviewItem>
    <reviewItem>
      <errorID>e265f2a6-eec4-40a3-a070-4cc95d24a684</errorID>
      <errorWord>的mRNA</errorWord>
      <group>L1_Grammar</group>
      <groupName>语法问题</groupName>
      <ability>L2_Grammar</ability>
      <abilityName>语法错误</abilityName>
      <candidateList>
        <item>的</item>
      </candidateList>
      <explain/>
      <paraID>20622A81</paraID>
      <start>313</start>
      <end>314</end>
      <status>modified</status>
      <modifiedWord>的</modifiedWord>
      <trackRevisions>false</trackRevisions>
    </reviewItem>
    <reviewItem>
      <errorID>9ee775e9-9864-4c91-85fb-0d2a7d641ec4</errorID>
      <errorWord>表</errorWord>
      <group>L1_Grammar</group>
      <groupName>语法问题</groupName>
      <ability>L2_Grammar</ability>
      <abilityName>语法错误</abilityName>
      <candidateList>
        <item>mRNA</item>
      </candidateList>
      <explain/>
      <paraID>20622A81</paraID>
      <start>315</start>
      <end>319</end>
      <status>modified</status>
      <modifiedWord>mRNA</modifiedWord>
      <trackRevisions>false</trackRevisions>
    </reviewItem>
    <reviewItem>
      <errorID>ba2f7129-da61-490f-909c-433c80066039</errorID>
      <errorWord>显</errorWord>
      <group>L1_Word</group>
      <groupName>字词问题</groupName>
      <ability>L2_Typo</ability>
      <abilityName>字词错误</abilityName>
      <candidateList>
        <item>显著</item>
      </candidateList>
      <explain/>
      <paraID>56A422CE</paraID>
      <start>72</start>
      <end>74</end>
      <status>modified</status>
      <modifiedWord>显著</modifiedWord>
      <trackRevisions>false</trackRevisions>
    </reviewItem>
    <reviewItem>
      <errorID>7f34a8bb-d54b-4d82-bf4c-c228771a7605</errorID>
      <errorWord>以 及</errorWord>
      <group>L1_Word</group>
      <groupName>字词问题</groupName>
      <ability>L2_Typo</ability>
      <abilityName>字词错误</abilityName>
      <candidateList>
        <item>以及 </item>
      </candidateList>
      <explain/>
      <paraID>56A422CE</paraID>
      <start>141</start>
      <end>144</end>
      <status>modified</status>
      <modifiedWord>以及 </modifiedWord>
      <trackRevisions>false</trackRevisions>
    </reviewItem>
    <reviewItem>
      <errorID>0702cfb3-a7dc-4320-b03b-c0ecf2a1ec2e</errorID>
      <errorWord> </errorWord>
      <group>L1_Punc</group>
      <groupName>标点问题</groupName>
      <ability>L2_Punc_CN</ability>
      <abilityName>标点符号问题</abilityName>
      <candidateList>
        <item/>
      </candidateList>
      <explain>此处空格冗余，建议删除。</explain>
      <paraID>56A422CE</paraID>
      <start>194</start>
      <end>194</end>
      <status>modified</status>
      <modifiedWord/>
      <trackRevisions>false</trackRevisions>
    </reviewItem>
    <reviewItem>
      <errorID>db21654c-2df6-49e8-bc74-07e23ec9e4d4</errorID>
      <errorWord>grp78的</errorWord>
      <group>L1_Grammar</group>
      <groupName>语法问题</groupName>
      <ability>L2_Grammar</ability>
      <abilityName>语法错误</abilityName>
      <candidateList>
        <item> grp78的</item>
      </candidateList>
      <explain/>
      <paraID>56A422CE</paraID>
      <start>227</start>
      <end>234</end>
      <status>modified</status>
      <modifiedWord> grp78的</modifiedWord>
      <trackRevisions>false</trackRevisions>
    </reviewItem>
    <reviewItem>
      <errorID>14e17b70-b463-4c8b-97c1-2dc083537fb3</errorID>
      <errorWord>xbp1</errorWord>
      <group>L1_Word</group>
      <groupName>字词问题</groupName>
      <ability>L2_Typo</ability>
      <abilityName>字词错误</abilityName>
      <candidateList>
        <item> xbp1</item>
      </candidateList>
      <explain/>
      <paraID>56A422CE</paraID>
      <start>278</start>
      <end>283</end>
      <status>modified</status>
      <modifiedWord> xbp1</modifiedWord>
      <trackRevisions>false</trackRevisions>
    </reviewItem>
    <reviewItem>
      <errorID>01098fbd-2acb-427d-ad3b-22207589fee6</errorID>
      <errorWord>atf4</errorWord>
      <group>L1_Word</group>
      <groupName>字词问题</groupName>
      <ability>L2_Typo</ability>
      <abilityName>字词错误</abilityName>
      <candidateList>
        <item> atf4</item>
      </candidateList>
      <explain/>
      <paraID>56A422CE</paraID>
      <start>285</start>
      <end>290</end>
      <status>modified</status>
      <modifiedWord> atf4</modifiedWord>
      <trackRevisions>false</trackRevisions>
    </reviewItem>
    <reviewItem>
      <errorID>26fff6b6-f18c-4b28-b261-060b573262cf</errorID>
      <errorWord>atf6</errorWord>
      <group>L1_Word</group>
      <groupName>字词问题</groupName>
      <ability>L2_Typo</ability>
      <abilityName>字词错误</abilityName>
      <candidateList>
        <item> atf6</item>
      </candidateList>
      <explain/>
      <paraID>56A422CE</paraID>
      <start>292</start>
      <end>297</end>
      <status>modified</status>
      <modifiedWord> atf6</modifiedWord>
      <trackRevisions>false</trackRevisions>
    </reviewItem>
    <reviewItem>
      <errorID>8f97c03a-77bc-4ea8-b679-cbee50830634</errorID>
      <errorWord>chop</errorWord>
      <group>L1_Word</group>
      <groupName>字词问题</groupName>
      <ability>L2_Typo</ability>
      <abilityName>字词错误</abilityName>
      <candidateList>
        <item> chop</item>
      </candidateList>
      <explain/>
      <paraID>56A422CE</paraID>
      <start>299</start>
      <end>304</end>
      <status>modified</status>
      <modifiedWord> chop</modifiedWord>
      <trackRevisions>false</trackRevisions>
    </reviewItem>
    <reviewItem>
      <errorID>46cfb7c0-a6e0-4a6e-9877-faf60e98d013</errorID>
      <errorWord>5 显 著</errorWord>
      <group>L1_Grammar</group>
      <groupName>语法问题</groupName>
      <ability>L2_Grammar</ability>
      <abilityName>语法错误</abilityName>
      <candidateList>
        <item>5</item>
      </candidateList>
      <explain/>
      <paraID>56A422CE</paraID>
      <start>359</start>
      <end>360</end>
      <status>modified</status>
      <modifiedWord>5</modifiedWord>
      <trackRevisions>false</trackRevisions>
    </reviewItem>
    <reviewItem>
      <errorID>22803b08-7580-44a8-a5c1-3c6732f28541</errorID>
      <errorWord>降 低</errorWord>
      <group>L1_Word</group>
      <groupName>字词问题</groupName>
      <ability>L2_Typo</ability>
      <abilityName>字词错误</abilityName>
      <candidateList>
        <item>显著降低</item>
      </candidateList>
      <explain/>
      <paraID>56A422CE</paraID>
      <start>361</start>
      <end>365</end>
      <status>modified</status>
      <modifiedWord>显著降低</modifiedWord>
      <trackRevisions>false</trackRevisions>
    </reviewItem>
    <reviewItem>
      <errorID>27b3e6d1-9e60-4100-8b57-1284844614bd</errorID>
      <errorWord>、</errorWord>
      <group>L1_Punc</group>
      <groupName>标点问题</groupName>
      <ability>L2_Punc_CN</ability>
      <abilityName>标点符号问题</abilityName>
      <candidateList>
        <item> 、</item>
      </candidateList>
      <explain/>
      <paraID>56A422CE</paraID>
      <start>386</start>
      <end>388</end>
      <status>modified</status>
      <modifiedWord> 、</modifiedWord>
      <trackRevisions>false</trackRevisions>
    </reviewItem>
    <reviewItem>
      <errorID>955c8e3e-2303-4a77-bf9c-4ee1f9c84787</errorID>
      <errorWord>atf6</errorWord>
      <group>L1_Word</group>
      <groupName>字词问题</groupName>
      <ability>L2_Typo</ability>
      <abilityName>字词错误</abilityName>
      <candidateList>
        <item> atf6</item>
      </candidateList>
      <explain/>
      <paraID>56A422CE</paraID>
      <start>395</start>
      <end>400</end>
      <status>modified</status>
      <modifiedWord> atf6</modifiedWord>
      <trackRevisions>false</trackRevisions>
    </reviewItem>
    <reviewItem>
      <errorID>4fdfb466-924a-4e61-9218-d460798dacff</errorID>
      <errorWord>chop</errorWord>
      <group>L1_Word</group>
      <groupName>字词问题</groupName>
      <ability>L2_Typo</ability>
      <abilityName>字词错误</abilityName>
      <candidateList>
        <item> chop</item>
      </candidateList>
      <explain/>
      <paraID>56A422CE</paraID>
      <start>402</start>
      <end>407</end>
      <status>modified</status>
      <modifiedWord> chop</modifiedWord>
      <trackRevisions>false</trackRevisions>
    </reviewItem>
    <reviewItem>
      <errorID>98111900-09a1-46ee-8999-2757e08c11bd</errorID>
      <errorWord>grp78</errorWord>
      <group>L1_Word</group>
      <groupName>字词问题</groupName>
      <ability>L2_Typo</ability>
      <abilityName>字词错误</abilityName>
      <candidateList>
        <item> grp78</item>
      </candidateList>
      <explain/>
      <paraID>56A422CE</paraID>
      <start>409</start>
      <end>415</end>
      <status>modified</status>
      <modifiedWord> grp78</modifiedWord>
      <trackRevisions>false</trackRevisions>
    </reviewItem>
    <reviewItem>
      <errorID>a8370ced-0241-46d6-9801-8d4b5b18e4c2</errorID>
      <errorWord> </errorWord>
      <group>L1_Punc</group>
      <groupName>标点问题</groupName>
      <ability>L2_Punc_CN</ability>
      <abilityName>标点符号问题</abilityName>
      <candidateList>
        <item/>
      </candidateList>
      <explain>此处空格冗余，建议删除。</explain>
      <paraID>64B3D134</paraID>
      <start>391</start>
      <end>391</end>
      <status>modified</status>
      <modifiedWord/>
      <trackRevisions>false</trackRevisions>
    </reviewItem>
    <reviewItem>
      <errorID>478ae2b9-63a2-4d12-b915-9d5c813cc97d</errorID>
      <errorWord>研究 </errorWord>
      <group>L1_Word</group>
      <groupName>字词问题</groupName>
      <ability>L2_Typo</ability>
      <abilityName>字词错误</abilityName>
      <candidateList>
        <item> 研究</item>
      </candidateList>
      <explain/>
      <paraID>64B3D134</paraID>
      <start>428</start>
      <end>431</end>
      <status>modified</status>
      <modifiedWord> 研究</modifiedWord>
      <trackRevisions>false</trackRevisions>
    </reviewItem>
    <reviewItem>
      <errorID>b37e2777-7389-45a2-b0ed-cf2049ba0b06</errorID>
      <errorWord> </errorWord>
      <group>L1_Punc</group>
      <groupName>标点问题</groupName>
      <ability>L2_Punc_CN</ability>
      <abilityName>标点符号问题</abilityName>
      <candidateList>
        <item/>
      </candidateList>
      <explain>此处空格冗余，建议删除。</explain>
      <paraID>64B3D134</paraID>
      <start>434</start>
      <end>434</end>
      <status>modified</status>
      <modifiedWord/>
      <trackRevisions>false</trackRevisions>
    </reviewItem>
    <reviewItem>
      <errorID>73dad488-350b-4a2d-ba61-9b48d1385b02</errorID>
      <errorWord>饲 喂增加</errorWord>
      <group>L1_Word</group>
      <groupName>字词问题</groupName>
      <ability>L2_Typo</ability>
      <abilityName>字词错误</abilityName>
      <candidateList>
        <item>饲喂增加</item>
      </candidateList>
      <explain/>
      <paraID>64B3D134</paraID>
      <start>437</start>
      <end>441</end>
      <status>modified</status>
      <modifiedWord>饲喂增加</modifiedWord>
      <trackRevisions>false</trackRevisions>
    </reviewItem>
    <reviewItem>
      <errorID>49bfa578-a0a9-4f10-876f-ed54ce3134ba</errorID>
      <errorWord>、</errorWord>
      <group>L1_Punc</group>
      <groupName>标点问题</groupName>
      <ability>L2_Punc_CN</ability>
      <abilityName>标点符号问题</abilityName>
      <candidateList>
        <item>，</item>
      </candidateList>
      <explain/>
      <paraID>64B3D134</paraID>
      <start>446</start>
      <end>447</end>
      <status>modified</status>
      <modifiedWord>，</modifiedWord>
      <trackRevisions>false</trackRevisions>
    </reviewItem>
    <reviewItem>
      <errorID>ec14669e-51fd-46f5-86b6-6eed30558e45</errorID>
      <errorWord>柚</errorWord>
      <group>L1_Punc</group>
      <groupName>标点问题</groupName>
      <ability>L2_Punc_CN</ability>
      <abilityName>标点符号问题</abilityName>
      <candidateList>
        <item>，柚</item>
      </candidateList>
      <explain/>
      <paraID>2A7F8615</paraID>
      <start>203</start>
      <end>205</end>
      <status>modified</status>
      <modifiedWord>，柚</modifiedWord>
      <trackRevisions>false</trackRevisions>
    </reviewItem>
    <reviewItem>
      <errorID>c457a8cf-3cf5-4eeb-bc3f-85daa527c65d</errorID>
      <errorWord>: </errorWord>
      <group>L1_Punc</group>
      <groupName>标点问题</groupName>
      <ability>L2_Punc_CN</ability>
      <abilityName>标点符号问题</abilityName>
      <candidateList>
        <item>：</item>
      </candidateList>
      <explain/>
      <paraID>1316EB15</paraID>
      <start>2</start>
      <end>3</end>
      <status>modified</status>
      <modifiedWord>：</modifiedWord>
      <trackRevisions>false</trackRevisions>
    </reviewItem>
    <reviewItem>
      <errorID>30a6df94-6ed4-417e-8494-7bd30feafd19</errorID>
      <errorWord>、</errorWord>
      <group>L1_Punc</group>
      <groupName>标点问题</groupName>
      <ability>L2_Punc_CN</ability>
      <abilityName>标点符号问题</abilityName>
      <candidateList>
        <item>%、</item>
      </candidateList>
      <explain/>
      <paraID>1316EB15</paraID>
      <start>51</start>
      <end>53</end>
      <status>modified</status>
      <modifiedWord>%、</modifiedWord>
      <trackRevisions>false</trackRevisions>
    </reviewItem>
    <reviewItem>
      <errorID>1480b6d3-fb9b-45a5-8a49-2391d1763240</errorID>
      <errorWord>配制</errorWord>
      <group>L1_Punc</group>
      <groupName>标点问题</groupName>
      <ability>L2_Punc_CN</ability>
      <abilityName>标点符号问题</abilityName>
      <candidateList>
        <item>，配制</item>
      </candidateList>
      <explain/>
      <paraID>1316EB15</paraID>
      <start>72</start>
      <end>75</end>
      <status>modified</status>
      <modifiedWord>，配制</modifiedWord>
      <trackRevisions>false</trackRevisions>
    </reviewItem>
    <reviewItem>
      <errorID>db24750d-3562-4a55-8c07-1e65fabb40ae</errorID>
      <errorWord>CV0</errorWord>
      <group>L1_Word</group>
      <groupName>字词问题</groupName>
      <ability>L2_Typo</ability>
      <abilityName>字词错误</abilityName>
      <candidateList>
        <item>为CV0</item>
      </candidateList>
      <explain/>
      <paraID>1316EB15</paraID>
      <start>89</start>
      <end>93</end>
      <status>modified</status>
      <modifiedWord>为CV0</modifiedWord>
      <trackRevisions>false</trackRevisions>
    </reviewItem>
    <reviewItem>
      <errorID>36fb4663-07c5-4c00-9441-e59c00adbc92</errorID>
      <errorWord>饲喂</errorWord>
      <group>L1_Punc</group>
      <groupName>标点问题</groupName>
      <ability>L2_Punc_CN</ability>
      <abilityName>标点符号问题</abilityName>
      <candidateList>
        <item>，饲喂</item>
      </candidateList>
      <explain/>
      <paraID>1316EB15</paraID>
      <start>128</start>
      <end>131</end>
      <status>modified</status>
      <modifiedWord>，饲喂</modifiedWord>
      <trackRevisions>false</trackRevisions>
    </reviewItem>
    <reviewItem>
      <errorID>8ee0ecac-a391-4264-a4c4-5254cdd0d003</errorID>
      <errorWord>升高</errorWord>
      <group>L1_Word</group>
      <groupName>字词问题</groupName>
      <ability>L2_Typo</ability>
      <abilityName>字词错误</abilityName>
      <candidateList>
        <item>提高</item>
      </candidateList>
      <explain/>
      <paraID>1316EB15</paraID>
      <start>273</start>
      <end>275</end>
      <status>modified</status>
      <modifiedWord>提高</modifiedWord>
      <trackRevisions>false</trackRevisions>
    </reviewItem>
    <reviewItem>
      <errorID>5f8efb37-68e4-4771-b127-ee0cc450013b</errorID>
      <errorWord>升高</errorWord>
      <group>L1_Word</group>
      <groupName>字词问题</groupName>
      <ability>L2_Typo</ability>
      <abilityName>字词错误</abilityName>
      <candidateList>
        <item>提高</item>
      </candidateList>
      <explain/>
      <paraID>1316EB15</paraID>
      <start>355</start>
      <end>357</end>
      <status>modified</status>
      <modifiedWord>提高</modifiedWord>
      <trackRevisions>false</trackRevisions>
    </reviewItem>
    <reviewItem>
      <errorID>9aee57e2-d5b2-4496-b2d7-f8a2bed77913</errorID>
      <errorWord>提高</errorWord>
      <group>L1_Word</group>
      <groupName>字词问题</groupName>
      <ability>L2_Typo</ability>
      <abilityName>字词错误</abilityName>
      <candidateList>
        <item>升高</item>
      </candidateList>
      <explain/>
      <paraID>1316EB15</paraID>
      <start>457</start>
      <end>459</end>
      <status>modified</status>
      <modifiedWord>升高</modifiedWord>
      <trackRevisions>false</trackRevisions>
    </reviewItem>
    <reviewItem>
      <errorID>229efb95-0992-4968-b2f0-14ef6b111672</errorID>
      <errorWord>;</errorWord>
      <group>L1_Punc</group>
      <groupName>标点问题</groupName>
      <ability>L2_Punc_CN</ability>
      <abilityName>标点符号问题</abilityName>
      <candidateList>
        <item>；</item>
      </candidateList>
      <explain/>
      <paraID>1316EB15</paraID>
      <start>523</start>
      <end>524</end>
      <status>modified</status>
      <modifiedWord>；</modifiedWord>
      <trackRevisions>false</trackRevisions>
    </reviewItem>
    <reviewItem>
      <errorID>19290bd3-4317-4d48-88e0-0b310e5e26b5</errorID>
      <errorWord>来</errorWord>
      <group>L1_Punc</group>
      <groupName>标点问题</groupName>
      <ability>L2_Punc_CN</ability>
      <abilityName>标点符号问题</abilityName>
      <candidateList>
        <item>，来</item>
      </candidateList>
      <explain/>
      <paraID>1316EB15</paraID>
      <start>607</start>
      <end>609</end>
      <status>modified</status>
      <modifiedWord>，来</modifiedWord>
      <trackRevisions>false</trackRevisions>
    </reviewItem>
    <reviewItem>
      <errorID>c92d4639-e9bc-4ab0-b9a6-b87b13972f71</errorID>
      <errorWord> </errorWord>
      <group>L1_Punc</group>
      <groupName>标点问题</groupName>
      <ability>L2_Punc_CN</ability>
      <abilityName>标点符号问题</abilityName>
      <candidateList>
        <item/>
      </candidateList>
      <explain>此处空格冗余，建议删除。</explain>
      <paraID>1316EB15</paraID>
      <start>618</start>
      <end>618</end>
      <status>modified</status>
      <modifiedWord/>
      <trackRevisions>false</trackRevisions>
    </reviewItem>
    <reviewItem>
      <errorID>9f5b5bd1-1d45-43cc-86a2-d053121a9bcb</errorID>
      <errorWord>增加</errorWord>
      <group>L1_Punc</group>
      <groupName>标点问题</groupName>
      <ability>L2_Punc_CN</ability>
      <abilityName>标点符号问题</abilityName>
      <candidateList>
        <item>，增加</item>
      </candidateList>
      <explain/>
      <paraID>1316EB15</paraID>
      <start>740</start>
      <end>743</end>
      <status>modified</status>
      <modifiedWord>，增加</modifiedWord>
      <trackRevisions>false</trackRevisions>
    </reviewItem>
    <reviewItem>
      <errorID>32f1ba06-4e1b-45df-a0f5-2407a8315711</errorID>
      <errorWord> </errorWord>
      <group>L1_Punc</group>
      <groupName>标点问题</groupName>
      <ability>L2_Punc_CN</ability>
      <abilityName>标点符号问题</abilityName>
      <candidateList>
        <item/>
      </candidateList>
      <explain>此处空格冗余，建议删除。</explain>
      <paraID>1316EB15</paraID>
      <start>801</start>
      <end>801</end>
      <status>modified</status>
      <modifiedWord/>
      <trackRevisions>false</trackRevisions>
    </reviewItem>
    <reviewItem>
      <errorID>d1bb0d6c-70b5-4dba-8773-97ac40a7f43a</errorID>
      <errorWord> </errorWord>
      <group>L1_Punc</group>
      <groupName>标点问题</groupName>
      <ability>L2_Punc_CN</ability>
      <abilityName>标点符号问题</abilityName>
      <candidateList>
        <item/>
      </candidateList>
      <explain>此处空格冗余，建议删除。</explain>
      <paraID>1316EB15</paraID>
      <start>915</start>
      <end>915</end>
      <status>modified</status>
      <modifiedWord/>
      <trackRevisions>false</trackRevisions>
    </reviewItem>
    <reviewItem>
      <errorID>021d7b8e-3cf5-4db4-924a-7e94981f58fc</errorID>
      <errorWord>:</errorWord>
      <group>L1_Format</group>
      <groupName>格式问题</groupName>
      <ability>L2_HalfPunc_CN</ability>
      <abilityName>全半角问题</abilityName>
      <candidateList>
        <item>：</item>
      </candidateList>
      <explain>文本全半角错误。</explain>
      <paraID> 93B315C</paraID>
      <start>3</start>
      <end>4</end>
      <status>modified</status>
      <modifiedWord>：</modifiedWord>
      <trackRevisions>false</trackRevisions>
    </reviewItem>
    <reviewItem>
      <errorID>2b0c98f1-4946-4c40-ad83-d2298b079c38</errorID>
      <errorWord>;</errorWord>
      <group>L1_Format</group>
      <groupName>格式问题</groupName>
      <ability>L2_HalfPunc_CN</ability>
      <abilityName>全半角问题</abilityName>
      <candidateList>
        <item>；</item>
      </candidateList>
      <explain>文本全半角错误。</explain>
      <paraID> 93B315C</paraID>
      <start>7</start>
      <end>8</end>
      <status>modified</status>
      <modifiedWord>；</modifiedWord>
      <trackRevisions>false</trackRevisions>
    </reviewItem>
    <reviewItem>
      <errorID>347bdb79-33cc-4cf6-a8ef-435f4ef365df</errorID>
      <errorWord>;</errorWord>
      <group>L1_Format</group>
      <groupName>格式问题</groupName>
      <ability>L2_HalfPunc_CN</ability>
      <abilityName>全半角问题</abilityName>
      <candidateList>
        <item>；</item>
      </candidateList>
      <explain>文本全半角错误。</explain>
      <paraID> 93B315C</paraID>
      <start>12</start>
      <end>13</end>
      <status>modified</status>
      <modifiedWord>；</modifiedWord>
      <trackRevisions>false</trackRevisions>
    </reviewItem>
    <reviewItem>
      <errorID>31f6f624-0bc6-4ec2-95a9-fa288456e089</errorID>
      <errorWord>;</errorWord>
      <group>L1_Format</group>
      <groupName>格式问题</groupName>
      <ability>L2_HalfPunc_CN</ability>
      <abilityName>全半角问题</abilityName>
      <candidateList>
        <item>；</item>
      </candidateList>
      <explain>文本全半角错误。</explain>
      <paraID> 93B315C</paraID>
      <start>19</start>
      <end>20</end>
      <status>modified</status>
      <modifiedWord>；</modifiedWord>
      <trackRevisions>false</trackRevisions>
    </reviewItem>
    <reviewItem>
      <errorID>19432cbd-ddc0-491c-8eb4-8826d10826e7</errorID>
      <errorWord>;</errorWord>
      <group>L1_Format</group>
      <groupName>格式问题</groupName>
      <ability>L2_HalfPunc_CN</ability>
      <abilityName>全半角问题</abilityName>
      <candidateList>
        <item>；</item>
      </candidateList>
      <explain>文本全半角错误。</explain>
      <paraID> 93B315C</paraID>
      <start>25</start>
      <end>26</end>
      <status>modified</status>
      <modifiedWord>；</modifiedWord>
      <trackRevisions>false</trackRevisions>
    </reviewItem>
    <reviewItem>
      <errorID>46e752a1-0d3f-4100-addb-5a5e1f415577</errorID>
      <errorWord>;</errorWord>
      <group>L1_Format</group>
      <groupName>格式问题</groupName>
      <ability>L2_HalfPunc_CN</ability>
      <abilityName>全半角问题</abilityName>
      <candidateList>
        <item>；</item>
      </candidateList>
      <explain>文本全半角错误。</explain>
      <paraID> 93B315C</paraID>
      <start>31</start>
      <end>32</end>
      <status>modified</status>
      <modifiedWord>；</modifiedWord>
      <trackRevisions>false</trackRevisions>
    </reviewItem>
    <reviewItem>
      <errorID>968a603c-ec29-4f06-9998-be3525bb46d8</errorID>
      <errorWord>;</errorWord>
      <group>L1_Format</group>
      <groupName>格式问题</groupName>
      <ability>L2_HalfPunc_CN</ability>
      <abilityName>全半角问题</abilityName>
      <candidateList>
        <item>；</item>
      </candidateList>
      <explain>文本全半角错误。</explain>
      <paraID> 93B315C</paraID>
      <start>37</start>
      <end>38</end>
      <status>modified</status>
      <modifiedWord>；</modifiedWord>
      <trackRevisions>false</trackRevisions>
    </reviewItem>
    <reviewItem>
      <errorID>1f28e875-4ce1-4d32-bf55-cdfc01c5185c</errorID>
      <errorWord>chorella</errorWord>
      <group>L1_English</group>
      <groupName>英文问题</groupName>
      <ability>L2_Spell</ability>
      <abilityName>拼写问题</abilityName>
      <candidateList>
        <item>chlorella</item>
      </candidateList>
      <explain>疑似单词拼写有误，建议将chorella修改为chlorella</explain>
      <paraID>1C414F64</paraID>
      <start>26</start>
      <end>35</end>
      <status>modified</status>
      <modifiedWord>chlorella</modifiedWord>
      <trackRevisions>false</trackRevisions>
    </reviewItem>
    <reviewItem>
      <errorID>1c7b5f42-c9e2-4d3e-936c-c36cd0f11b28</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 2E129AD</paraID>
      <start>1320</start>
      <end>1328</end>
      <status>modified</status>
      <modifiedWord>P &lt; 0.05</modifiedWord>
      <trackRevisions>false</trackRevisions>
    </reviewItem>
    <reviewItem>
      <errorID>56fb0d39-02f9-48e0-9c32-e3137b549b70</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 2E129AD</paraID>
      <start>1378</start>
      <end>1386</end>
      <status>modified</status>
      <modifiedWord>P &lt; 0.05</modifiedWord>
      <trackRevisions>false</trackRevisions>
    </reviewItem>
    <reviewItem>
      <errorID>63acebcf-abe2-44a2-8e56-051cd1e9bac1</errorID>
      <errorWord>amino transferase</errorWord>
      <group>L1_English</group>
      <groupName>英文问题</groupName>
      <ability>L2_Space</ability>
      <abilityName>空格不规范问题</abilityName>
      <candidateList>
        <item>aminotransferase</item>
      </candidateList>
      <explain>疑似单词空格书写不规范，建议将amino transferase修改为aminotransferase</explain>
      <paraID> 2E129AD</paraID>
      <start>1615</start>
      <end>1631</end>
      <status>modified</status>
      <modifiedWord>aminotransferase</modifiedWord>
      <trackRevisions>false</trackRevisions>
    </reviewItem>
    <reviewItem>
      <errorID>5fe17b02-864c-4f6d-9ee9-50022ea86213</errorID>
      <errorWord>amino transferase</errorWord>
      <group>L1_English</group>
      <groupName>英文问题</groupName>
      <ability>L2_Space</ability>
      <abilityName>空格不规范问题</abilityName>
      <candidateList>
        <item>aminotransferase</item>
      </candidateList>
      <explain>疑似单词空格书写不规范，建议将amino transferase修改为aminotransferase</explain>
      <paraID> 2E129AD</paraID>
      <start>1646</start>
      <end>1662</end>
      <status>modified</status>
      <modifiedWord>aminotransferase</modifiedWord>
      <trackRevisions>false</trackRevisions>
    </reviewItem>
    <reviewItem>
      <errorID>ae3c3d0d-0b6f-43dc-94b1-241ee4245c11</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 2E129AD</paraID>
      <start>1700</start>
      <end>1708</end>
      <status>modified</status>
      <modifiedWord>P &lt; 0.05</modifiedWord>
      <trackRevisions>false</trackRevisions>
    </reviewItem>
    <reviewItem>
      <errorID>4de2d607-9eac-4179-b69e-f39e52f54b72</errorID>
      <errorWord>58</errorWord>
      <group>L1_English</group>
      <groupName>英文问题</groupName>
      <ability>L2_Other_Grammar</ability>
      <abilityName>其他语法问题</abilityName>
      <candidateList>
        <item>58%</item>
      </candidateList>
      <explain>疑似有名词缺失，建议将单词58修改为58%</explain>
      <paraID> 2E129AD</paraID>
      <start>3125</start>
      <end>3128</end>
      <status>modified</status>
      <modifiedWord>58%</modifiedWord>
      <trackRevisions>false</trackRevisions>
    </reviewItem>
    <reviewItem>
      <errorID>2bd99e31-07b1-4ea8-b60a-e4f35cc8ef85</errorID>
      <errorWord>。</errorWord>
      <group>L1_Punc</group>
      <groupName>标点问题</groupName>
      <ability>L2_Punc_CN</ability>
      <abilityName>标点符号问题</abilityName>
      <candidateList>
        <item>，</item>
      </candidateList>
      <explain/>
      <paraID> 28E61D1</paraID>
      <start>102</start>
      <end>103</end>
      <status>modified</status>
      <modifiedWord>，</modifiedWord>
      <trackRevisions>false</trackRevisions>
    </reviewItem>
    <reviewItem>
      <errorID>fc187437-d6ae-4eb8-a644-3df9626ea57f</errorID>
      <errorWord>框</errorWord>
      <group>L1_Word</group>
      <groupName>字词问题</groupName>
      <ability>L2_Typo</ability>
      <abilityName>字词错误</abilityName>
      <candidateList>
        <item>眶</item>
      </candidateList>
      <explain>存在发音相同字词的误用。</explain>
      <paraID> 28E61D1</paraID>
      <start>356</start>
      <end>357</end>
      <status>modified</status>
      <modifiedWord>眶</modifiedWord>
      <trackRevisions>false</trackRevisions>
    </reviewItem>
    <reviewItem>
      <errorID>33cd420d-587a-48e2-a834-be5328789855</errorID>
      <errorWord> </errorWord>
      <group>L1_Word</group>
      <groupName>字词问题</groupName>
      <ability>L2_Typo</ability>
      <abilityName>字词错误</abilityName>
      <candidateList>
        <item>°</item>
      </candidateList>
      <explain/>
      <paraID>26FDFE96</paraID>
      <start>28</start>
      <end>29</end>
      <status>modified</status>
      <modifiedWord> </modifiedWord>
      <trackRevisions>false</trackRevisions>
    </reviewItem>
    <reviewItem>
      <errorID>024bbfde-f719-4903-8ea3-42b39d5396ff</errorID>
      <errorWord>32</errorWord>
      <group>L1_Word</group>
      <groupName>字词问题</groupName>
      <ability>L2_Typo</ability>
      <abilityName>字词错误</abilityName>
      <candidateList>
        <item>32°</item>
      </candidateList>
      <explain/>
      <paraID>26FDFE96</paraID>
      <start>32</start>
      <end>35</end>
      <status>modified</status>
      <modifiedWord>32 </modifiedWord>
      <trackRevisions>false</trackRevisions>
    </reviewItem>
    <reviewItem>
      <errorID>23ed0dd8-4e0d-4185-8597-5adb22c7cdcd</errorID>
      <errorWord>—</errorWord>
      <group>L1_Punc</group>
      <groupName>标点问题</groupName>
      <ability>L2_Punc_CN</ability>
      <abilityName>标点符号问题</abilityName>
      <candidateList>
        <item>～</item>
      </candidateList>
      <explain/>
      <paraID>10B7A12F</paraID>
      <start>198</start>
      <end>199</end>
      <status>modified</status>
      <modifiedWord>～</modifiedWord>
      <trackRevisions>false</trackRevisions>
    </reviewItem>
    <reviewItem>
      <errorID>34685c4a-bb86-411e-84ae-21d8e38a40c9</errorID>
      <errorWord>— </errorWord>
      <group>L1_Punc</group>
      <groupName>标点问题</groupName>
      <ability>L2_Punc_CN</ability>
      <abilityName>标点符号问题</abilityName>
      <candidateList>
        <item>～</item>
      </candidateList>
      <explain/>
      <paraID>10B7A12F</paraID>
      <start>251</start>
      <end>252</end>
      <status>modified</status>
      <modifiedWord>～</modifiedWord>
      <trackRevisions>false</trackRevisions>
    </reviewItem>
    <reviewItem>
      <errorID>6c56cf2f-3d5e-4096-b4dd-e24bce4af646</errorID>
      <errorWord>，</errorWord>
      <group>L1_Punc</group>
      <groupName>标点问题</groupName>
      <ability>L2_Punc_CN</ability>
      <abilityName>标点符号问题</abilityName>
      <candidateList>
        <item/>
      </candidateList>
      <explain/>
      <paraID>669B0C14</paraID>
      <start>122</start>
      <end>122</end>
      <status>modified</status>
      <modifiedWord/>
      <trackRevisions>false</trackRevisions>
    </reviewItem>
    <reviewItem>
      <errorID>f9d08a9c-8b9f-4577-b19f-4b6a0a5f8224</errorID>
      <errorWord> </errorWord>
      <group>L1_Punc</group>
      <groupName>标点问题</groupName>
      <ability>L2_Punc_CN</ability>
      <abilityName>标点符号问题</abilityName>
      <candidateList>
        <item/>
      </candidateList>
      <explain>此处空格冗余，建议删除。</explain>
      <paraID>264D50FC</paraID>
      <start>121</start>
      <end>121</end>
      <status>modified</status>
      <modifiedWord/>
      <trackRevisions>false</trackRevisions>
    </reviewItem>
    <reviewItem>
      <errorID>bd8a4bbc-076a-4c6f-aa72-eb63c7af69a1</errorID>
      <errorWord> </errorWord>
      <group>L1_Punc</group>
      <groupName>标点问题</groupName>
      <ability>L2_Punc_CN</ability>
      <abilityName>标点符号问题</abilityName>
      <candidateList>
        <item/>
      </candidateList>
      <explain>此处空格冗余，建议删除。</explain>
      <paraID>4D9CE717</paraID>
      <start>133</start>
      <end>133</end>
      <status>modified</status>
      <modifiedWord/>
      <trackRevisions>false</trackRevisions>
    </reviewItem>
    <reviewItem>
      <errorID>3e3bbe3a-f10e-4235-8308-19b713f9ad03</errorID>
      <errorWord>，</errorWord>
      <group>L1_Word</group>
      <groupName>字词问题</groupName>
      <ability>L2_Typo</ability>
      <abilityName>字词错误</abilityName>
      <candidateList>
        <item>，以</item>
      </candidateList>
      <explain/>
      <paraID>7A1AB893</paraID>
      <start>105</start>
      <end>107</end>
      <status>modified</status>
      <modifiedWord>，以</modifiedWord>
      <trackRevisions>false</trackRevisions>
    </reviewItem>
    <reviewItem>
      <errorID>1f8812b9-147c-42a3-bec7-57d9161d1c8d</errorID>
      <errorWord>，</errorWord>
      <group>L1_Grammar</group>
      <groupName>语法问题</groupName>
      <ability>L2_Grammar</ability>
      <abilityName>语法错误</abilityName>
      <candidateList>
        <item>的趋势，</item>
      </candidateList>
      <explain/>
      <paraID> 598BE93</paraID>
      <start>232</start>
      <end>236</end>
      <status>modified</status>
      <modifiedWord>的趋势，</modifiedWord>
      <trackRevisions>false</trackRevisions>
    </reviewItem>
    <reviewItem>
      <errorID>dbe4f9d3-a5b9-4dd3-91ca-95a5beb643f6</errorID>
      <errorWord>&lt;</errorWord>
      <group>L1_Format</group>
      <groupName>格式问题</groupName>
      <ability>L2_HalfPunc_CN</ability>
      <abilityName>全半角问题</abilityName>
      <candidateList>
        <item>〈</item>
      </candidateList>
      <explain>文本全半角错误。</explain>
      <paraID> 598BE93</paraID>
      <start>395</start>
      <end>396</end>
      <status>modified</status>
      <modifiedWord>〈</modifiedWord>
      <trackRevisions>false</trackRevisions>
    </reviewItem>
    <reviewItem>
      <errorID>2dbf59df-879b-460f-8745-59e92803885a</errorID>
      <errorWord>&lt;</errorWord>
      <group>L1_Format</group>
      <groupName>格式问题</groupName>
      <ability>L2_HalfPunc_CN</ability>
      <abilityName>全半角问题</abilityName>
      <candidateList>
        <item>〈</item>
      </candidateList>
      <explain>文本全半角错误。</explain>
      <paraID> 598BE93</paraID>
      <start>459</start>
      <end>460</end>
      <status>modified</status>
      <modifiedWord>〈</modifiedWord>
      <trackRevisions>false</trackRevisions>
    </reviewItem>
    <reviewItem>
      <errorID>c6714f26-6f85-4e11-a86e-0add4c90c286</errorID>
      <errorWord>的的</errorWord>
      <group>L1_Word</group>
      <groupName>字词问题</groupName>
      <ability>L2_Typo</ability>
      <abilityName>字词错误</abilityName>
      <candidateList>
        <item>的</item>
      </candidateList>
      <explain/>
      <paraID> 66E5469</paraID>
      <start>15</start>
      <end>16</end>
      <status>modified</status>
      <modifiedWord>的</modifiedWord>
      <trackRevisions>false</trackRevisions>
    </reviewItem>
    <reviewItem>
      <errorID>865ef322-5518-4a38-94c1-5ce6db2715b8</errorID>
      <errorWord>）组 </errorWord>
      <group>L1_Grammar</group>
      <groupName>语法问题</groupName>
      <ability>L2_Grammar</ability>
      <abilityName>语法错误</abilityName>
      <candidateList>
        <item>）</item>
      </candidateList>
      <explain/>
      <paraID>25CFBB98</paraID>
      <start>317</start>
      <end>318</end>
      <status>modified</status>
      <modifiedWord>）</modifiedWord>
      <trackRevisions>false</trackRevisions>
    </reviewItem>
    <reviewItem>
      <errorID>434b1290-c225-4465-adfe-f28689ec1076</errorID>
      <errorWord>对 照 组</errorWord>
      <group>L1_Grammar</group>
      <groupName>语法问题</groupName>
      <ability>L2_Grammar</ability>
      <abilityName>语法错误</abilityName>
      <candidateList>
        <item>对照组</item>
      </candidateList>
      <explain/>
      <paraID>242DCBA5</paraID>
      <start>65</start>
      <end>68</end>
      <status>modified</status>
      <modifiedWord>对照组</modifiedWord>
      <trackRevisions>false</trackRevisions>
    </reviewItem>
    <reviewItem>
      <errorID>42e99061-f178-44aa-ac4f-c3e41d589444</errorID>
      <errorWord> </errorWord>
      <group>L1_Punc</group>
      <groupName>标点问题</groupName>
      <ability>L2_Punc_CN</ability>
      <abilityName>标点符号问题</abilityName>
      <candidateList>
        <item/>
      </candidateList>
      <explain>此处空格冗余，建议删除。</explain>
      <paraID>242DCBA5</paraID>
      <start>70</start>
      <end>70</end>
      <status>modified</status>
      <modifiedWord/>
      <trackRevisions>false</trackRevisions>
    </reviewItem>
    <reviewItem>
      <errorID>92b15b44-c4e2-4767-bdae-2516b503555d</errorID>
      <errorWord> </errorWord>
      <group>L1_Punc</group>
      <groupName>标点问题</groupName>
      <ability>L2_Punc_CN</ability>
      <abilityName>标点符号问题</abilityName>
      <candidateList>
        <item/>
      </candidateList>
      <explain>此处空格冗余，建议删除。</explain>
      <paraID> 178DB74</paraID>
      <start>165</start>
      <end>165</end>
      <status>modified</status>
      <modifiedWord/>
      <trackRevisions>false</trackRevisions>
    </reviewItem>
    <reviewItem>
      <errorID>0c4f608d-07e2-4d4d-a6a7-cc9eb160fbda</errorID>
      <errorWord>; </errorWord>
      <group>L1_Punc</group>
      <groupName>标点问题</groupName>
      <ability>L2_Punc_CN</ability>
      <abilityName>标点符号问题</abilityName>
      <candidateList>
        <item>；</item>
      </candidateList>
      <explain/>
      <paraID> 178DB74</paraID>
      <start>227</start>
      <end>228</end>
      <status>modified</status>
      <modifiedWord>；</modifiedWord>
      <trackRevisions>false</trackRevisions>
    </reviewItem>
    <reviewItem>
      <errorID>e2d5f143-d055-431c-aae3-4291d5c9714b</errorID>
      <errorWord>肠道</errorWord>
      <group>L1_Word</group>
      <groupName>字词问题</groupName>
      <ability>L2_Typo</ability>
      <abilityName>字词错误</abilityName>
      <candidateList>
        <item>鲤肠道</item>
      </candidateList>
      <explain/>
      <paraID> 178DB74</paraID>
      <start>370</start>
      <end>373</end>
      <status>modified</status>
      <modifiedWord>鲤肠道</modifiedWord>
      <trackRevisions>false</trackRevisions>
    </reviewItem>
    <reviewItem>
      <errorID>fe049592-900f-4953-824e-73a0e78ff847</errorID>
      <errorWord> </errorWord>
      <group>L1_Punc</group>
      <groupName>标点问题</groupName>
      <ability>L2_Punc_CN</ability>
      <abilityName>标点符号问题</abilityName>
      <candidateList>
        <item/>
      </candidateList>
      <explain>此处空格冗余，建议删除。</explain>
      <paraID> 178DB74</paraID>
      <start>403</start>
      <end>403</end>
      <status>modified</status>
      <modifiedWord/>
      <trackRevisions>false</trackRevisions>
    </reviewItem>
    <reviewItem>
      <errorID>6b62dff0-3e0c-4ae0-b895-a09a54bbb469</errorID>
      <errorWord> </errorWord>
      <group>L1_Punc</group>
      <groupName>标点问题</groupName>
      <ability>L2_Punc_CN</ability>
      <abilityName>标点符号问题</abilityName>
      <candidateList>
        <item/>
      </candidateList>
      <explain>此处空格冗余，建议删除。</explain>
      <paraID> 178DB74</paraID>
      <start>480</start>
      <end>480</end>
      <status>modified</status>
      <modifiedWord/>
      <trackRevisions>false</trackRevisions>
    </reviewItem>
    <reviewItem>
      <errorID>b03fee24-5982-4ea1-88d1-41a17c3fca9f</errorID>
      <errorWord> </errorWord>
      <group>L1_Punc</group>
      <groupName>标点问题</groupName>
      <ability>L2_Punc_CN</ability>
      <abilityName>标点符号问题</abilityName>
      <candidateList>
        <item/>
      </candidateList>
      <explain>此处空格冗余，建议删除。</explain>
      <paraID> 178DB74</paraID>
      <start>511</start>
      <end>511</end>
      <status>modified</status>
      <modifiedWord/>
      <trackRevisions>false</trackRevisions>
    </reviewItem>
    <reviewItem>
      <errorID>b15327f8-de1e-4961-85e7-1e08e12832d8</errorID>
      <errorWord>; </errorWord>
      <group>L1_Punc</group>
      <groupName>标点问题</groupName>
      <ability>L2_Punc_CN</ability>
      <abilityName>标点符号问题</abilityName>
      <candidateList>
        <item>；</item>
      </candidateList>
      <explain/>
      <paraID> 178DB74</paraID>
      <start>593</start>
      <end>594</end>
      <status>modified</status>
      <modifiedWord>；</modifiedWord>
      <trackRevisions>false</trackRevisions>
    </reviewItem>
    <reviewItem>
      <errorID>bdbe00b2-b562-400d-ae76-c961a83ca1b5</errorID>
      <errorWord>在哺乳动物的研究中表明</errorWord>
      <group>L1_Word</group>
      <groupName>字词问题</groupName>
      <ability>L2_Typo</ability>
      <abilityName>字词错误</abilityName>
      <candidateList>
        <item>研究表明，在哺乳动物中</item>
      </candidateList>
      <explain/>
      <paraID>3EF7D8A2</paraID>
      <start>99</start>
      <end>110</end>
      <status>modified</status>
      <modifiedWord>研究表明，在哺乳动物中</modifiedWord>
      <trackRevisions>false</trackRevisions>
    </reviewItem>
    <reviewItem>
      <errorID>f58168e4-65d9-4e78-b229-3d7aeb0c6290</errorID>
      <errorWord>能力有关</errorWord>
      <group>L1_Grammar</group>
      <groupName>语法问题</groupName>
      <ability>L2_Grammar</ability>
      <abilityName>语法错误</abilityName>
      <candidateList>
        <item>能力</item>
      </candidateList>
      <explain/>
      <paraID>3EF7D8A2</paraID>
      <start>959</start>
      <end>961</end>
      <status>modified</status>
      <modifiedWord>能力</modifiedWord>
      <trackRevisions>false</trackRevisions>
    </reviewItem>
    <reviewItem>
      <errorID>e35213ce-a8e2-4ad5-876e-a16712f45590</errorID>
      <errorWord>高水平地</errorWord>
      <group>L1_Word</group>
      <groupName>字词问题</groupName>
      <ability>L2_Typo</ability>
      <abilityName>字词错误</abilityName>
      <candidateList>
        <item>高水平</item>
      </candidateList>
      <explain/>
      <paraID>3EF7D8A2</paraID>
      <start>1522</start>
      <end>1525</end>
      <status>modified</status>
      <modifiedWord>高水平</modifiedWord>
      <trackRevisions>false</trackRevisions>
    </reviewItem>
    <reviewItem>
      <errorID>4d5c4a0e-e7af-4742-98f0-fd449ec2f352</errorID>
      <errorWord>.</errorWord>
      <group>L1_Punc</group>
      <groupName>标点问题</groupName>
      <ability>L2_Punc_CN</ability>
      <abilityName>标点符号问题</abilityName>
      <candidateList>
        <item>。</item>
      </candidateList>
      <explain/>
      <paraID>3EF7D8A2</paraID>
      <start>1761</start>
      <end>1762</end>
      <status>modified</status>
      <modifiedWord>。</modifiedWord>
      <trackRevisions>false</trackRevisions>
    </reviewItem>
    <reviewItem>
      <errorID>99417fab-e72a-4802-ba6a-562f60e95a09</errorID>
      <errorWord>，</errorWord>
      <group>L1_Word</group>
      <groupName>字词问题</groupName>
      <ability>L2_Typo</ability>
      <abilityName>字词错误</abilityName>
      <candidateList>
        <item>。当</item>
      </candidateList>
      <explain/>
      <paraID>44D622CF</paraID>
      <start>269</start>
      <end>271</end>
      <status>modified</status>
      <modifiedWord>。当</modifiedWord>
      <trackRevisions>false</trackRevisions>
    </reviewItem>
    <reviewItem>
      <errorID>efc7c604-4ff8-4870-bd2e-76f8cd3df427</errorID>
      <errorWord>，</errorWord>
      <group>L1_Word</group>
      <groupName>字词问题</groupName>
      <ability>L2_Typo</ability>
      <abilityName>字词错误</abilityName>
      <candidateList>
        <item>时，</item>
      </candidateList>
      <explain/>
      <paraID>44D622CF</paraID>
      <start>280</start>
      <end>282</end>
      <status>modified</status>
      <modifiedWord>时，</modifiedWord>
      <trackRevisions>false</trackRevisions>
    </reviewItem>
    <reviewItem>
      <errorID>04b1836d-f2bd-4653-a8ef-c86793dfdf63</errorID>
      <errorWord>TP则</errorWord>
      <group>L1_Word</group>
      <groupName>字词问题</groupName>
      <ability>L2_Typo</ability>
      <abilityName>字词错误</abilityName>
      <candidateList>
        <item>TP</item>
      </candidateList>
      <explain/>
      <paraID>44D622CF</paraID>
      <start>615</start>
      <end>617</end>
      <status>modified</status>
      <modifiedWord>TP</modifiedWord>
      <trackRevisions>false</trackRevisions>
    </reviewItem>
    <reviewItem>
      <errorID>806469d4-95df-4344-9ebe-1c10c7793855</errorID>
      <errorWord>，</errorWord>
      <group>L1_Word</group>
      <groupName>字词问题</groupName>
      <ability>L2_Typo</ability>
      <abilityName>字词错误</abilityName>
      <candidateList>
        <item>时，</item>
      </candidateList>
      <explain/>
      <paraID>44D622CF</paraID>
      <start>636</start>
      <end>638</end>
      <status>modified</status>
      <modifiedWord>时，</modifiedWord>
      <trackRevisions>false</trackRevisions>
    </reviewItem>
    <reviewItem>
      <errorID>296886d0-3fec-4139-84d7-284159f4b0db</errorID>
      <errorWord>Epinephelusfuscoguttatus</errorWord>
      <group>L1_Word</group>
      <groupName>字词问题</groupName>
      <ability>L2_Typo</ability>
      <abilityName>字词错误</abilityName>
      <candidateList>
        <item>Epinephelus fuscoguttatus</item>
      </candidateList>
      <explain/>
      <paraID>44D622CF</paraID>
      <start>733</start>
      <end>758</end>
      <status>modified</status>
      <modifiedWord>Epinephelus fuscoguttatus</modifiedWord>
      <trackRevisions>false</trackRevisions>
    </reviewItem>
    <reviewItem>
      <errorID>457dc33d-b453-4694-8e82-162acc85f4f8</errorID>
      <errorWord>小球藻</errorWord>
      <group>L1_Word</group>
      <groupName>字词问题</groupName>
      <ability>L2_Typo</ability>
      <abilityName>字词错误</abilityName>
      <candidateList>
        <item>在小球藻</item>
      </candidateList>
      <explain/>
      <paraID>69D8ADE8</paraID>
      <start>365</start>
      <end>369</end>
      <status>modified</status>
      <modifiedWord>在小球藻</modifiedWord>
      <trackRevisions>false</trackRevisions>
    </reviewItem>
    <reviewItem>
      <errorID>b17594a8-eaa6-4609-b61f-b811d60e400a</errorID>
      <errorWord>小球藻</errorWord>
      <group>L1_Word</group>
      <groupName>字词问题</groupName>
      <ability>L2_Typo</ability>
      <abilityName>字词错误</abilityName>
      <candidateList>
        <item>将小球藻</item>
      </candidateList>
      <explain/>
      <paraID>69D8ADE8</paraID>
      <start>484</start>
      <end>488</end>
      <status>modified</status>
      <modifiedWord>将小球藻</modifiedWord>
      <trackRevisions>false</trackRevisions>
    </reviewItem>
    <reviewItem>
      <errorID>fdfe3d6b-a8e6-4504-b1bd-410d03977247</errorID>
      <errorWord> </errorWord>
      <group>L1_Punc</group>
      <groupName>标点问题</groupName>
      <ability>L2_Punc_CN</ability>
      <abilityName>标点符号问题</abilityName>
      <candidateList>
        <item/>
      </candidateList>
      <explain>此处空格冗余，建议删除。</explain>
      <paraID>1FF835A6</paraID>
      <start>108</start>
      <end>108</end>
      <status>modified</status>
      <modifiedWord/>
      <trackRevisions>false</trackRevisions>
    </reviewItem>
    <reviewItem>
      <errorID>871c0e61-6880-493c-b067-aa0dabef4050</errorID>
      <errorWord> </errorWord>
      <group>L1_Punc</group>
      <groupName>标点问题</groupName>
      <ability>L2_Punc_CN</ability>
      <abilityName>标点符号问题</abilityName>
      <candidateList>
        <item/>
      </candidateList>
      <explain>此处空格冗余，建议删除。</explain>
      <paraID>1FF835A6</paraID>
      <start>235</start>
      <end>235</end>
      <status>modified</status>
      <modifiedWord/>
      <trackRevisions>false</trackRevisions>
    </reviewItem>
    <reviewItem>
      <errorID>8d182a63-3f2f-4c33-948a-1f418f5dbee9</errorID>
      <errorWord>发 挥</errorWord>
      <group>L1_Word</group>
      <groupName>字词问题</groupName>
      <ability>L2_Typo</ability>
      <abilityName>字词错误</abilityName>
      <candidateList>
        <item>发挥</item>
      </candidateList>
      <explain/>
      <paraID>1FF835A6</paraID>
      <start>244</start>
      <end>246</end>
      <status>modified</status>
      <modifiedWord>发挥</modifiedWord>
      <trackRevisions>false</trackRevisions>
    </reviewItem>
    <reviewItem>
      <errorID>0dde0718-d982-417b-940a-56b0207084d9</errorID>
      <errorWord>，</errorWord>
      <group>L1_Punc</group>
      <groupName>标点问题</groupName>
      <ability>L2_Punc_CN</ability>
      <abilityName>标点符号问题</abilityName>
      <candidateList>
        <item>。</item>
      </candidateList>
      <explain/>
      <paraID>7B7CECB4</paraID>
      <start>466</start>
      <end>467</end>
      <status>modified</status>
      <modifiedWord>。</modifiedWord>
      <trackRevisions>false</trackRevisions>
    </reviewItem>
    <reviewItem>
      <errorID>4a18306e-4a96-403e-8234-16be5c1b4414</errorID>
      <errorWord> </errorWord>
      <group>L1_Punc</group>
      <groupName>标点问题</groupName>
      <ability>L2_Punc_CN</ability>
      <abilityName>标点符号问题</abilityName>
      <candidateList>
        <item/>
      </candidateList>
      <explain>此处空格冗余，建议删除。</explain>
      <paraID>7B7CECB4</paraID>
      <start>650</start>
      <end>650</end>
      <status>modified</status>
      <modifiedWord/>
      <trackRevisions>false</trackRevisions>
    </reviewItem>
    <reviewItem>
      <errorID>c8a0cb56-1918-41cf-bc48-06086d9d7333</errorID>
      <errorWord> </errorWord>
      <group>L1_Punc</group>
      <groupName>标点问题</groupName>
      <ability>L2_Punc_CN</ability>
      <abilityName>标点符号问题</abilityName>
      <candidateList>
        <item/>
      </candidateList>
      <explain>此处空格冗余，建议删除。</explain>
      <paraID>7B7CECB4</paraID>
      <start>651</start>
      <end>651</end>
      <status>modified</status>
      <modifiedWord/>
      <trackRevisions>false</trackRevisions>
    </reviewItem>
    <reviewItem>
      <errorID>5581b019-1765-48cf-a247-086190f2bf8f</errorID>
      <errorWord>提高了肌肉中的DHA（C22﹕ 6n-3）、n-3 PUFA的含量</errorWord>
      <group>L1_Word</group>
      <groupName>字词问题</groupName>
      <ability>L2_Typo</ability>
      <abilityName>字词错误</abilityName>
      <candidateList>
        <item>肌肉中的DHA（C22﹕ 6n-3）、n-3 PUFA的含量提高</item>
      </candidateList>
      <explain/>
      <paraID>7B7CECB4</paraID>
      <start>1222</start>
      <end>1254</end>
      <status>modified</status>
      <modifiedWord>肌肉中的DHA（C22﹕ 6n-3）、n-3 PUFA的含量提高</modifiedWord>
      <trackRevisions>false</trackRevisions>
    </reviewItem>
    <reviewItem>
      <errorID>fc44b66a-8cb7-4545-b9e7-0fda9d746098</errorID>
      <errorWord>，</errorWord>
      <group>L1_Punc</group>
      <groupName>标点问题</groupName>
      <ability>L2_Punc_CN</ability>
      <abilityName>标点符号问题</abilityName>
      <candidateList>
        <item>, </item>
      </candidateList>
      <explain/>
      <paraID>7B7CECB4</paraID>
      <start>1359</start>
      <end>1359</end>
      <status>modified</status>
      <modifiedWord>, </modifiedWord>
      <trackRevisions>false</trackRevisions>
    </reviewItem>
    <reviewItem>
      <errorID>c7595c69-1549-43ff-a990-6f12def4cc53</errorID>
      <errorWord>，</errorWord>
      <group>L1_Punc</group>
      <groupName>标点问题</groupName>
      <ability>L2_Punc_CN</ability>
      <abilityName>标点符号问题</abilityName>
      <candidateList>
        <item>。</item>
      </candidateList>
      <explain/>
      <paraID>7B7CECB4</paraID>
      <start>1438</start>
      <end>1439</end>
      <status>modified</status>
      <modifiedWord>。</modifiedWord>
      <trackRevisions>false</trackRevisions>
    </reviewItem>
    <reviewItem>
      <errorID>ffd69b70-fa9c-4188-b50e-c13728302040</errorID>
      <errorWord>，</errorWord>
      <group>L1_Punc</group>
      <groupName>标点问题</groupName>
      <ability>L2_Punc_CN</ability>
      <abilityName>标点符号问题</abilityName>
      <candidateList>
        <item>, </item>
      </candidateList>
      <explain/>
      <paraID>31C6C0DC</paraID>
      <start>245</start>
      <end>245</end>
      <status>modified</status>
      <modifiedWord>, </modifiedWord>
      <trackRevisions>false</trackRevisions>
    </reviewItem>
    <reviewItem>
      <errorID>85b635e7-ed6d-4dae-a28e-f82a81eb766e</errorID>
      <errorWord> </errorWord>
      <group>L1_Punc</group>
      <groupName>标点问题</groupName>
      <ability>L2_Punc_CN</ability>
      <abilityName>标点符号问题</abilityName>
      <candidateList>
        <item/>
      </candidateList>
      <explain>此处空格冗余，建议删除。</explain>
      <paraID>31C6C0DC</paraID>
      <start>349</start>
      <end>349</end>
      <status>modified</status>
      <modifiedWord/>
      <trackRevisions>false</trackRevisions>
    </reviewItem>
    <reviewItem>
      <errorID>707dc47b-4ace-48d9-bcb4-4a164c1ae588</errorID>
      <errorWord> </errorWord>
      <group>L1_Punc</group>
      <groupName>标点问题</groupName>
      <ability>L2_Punc_CN</ability>
      <abilityName>标点符号问题</abilityName>
      <candidateList>
        <item/>
      </candidateList>
      <explain>此处空格冗余，建议删除。</explain>
      <paraID>29EF90EA</paraID>
      <start>188</start>
      <end>188</end>
      <status>modified</status>
      <modifiedWord/>
      <trackRevisions>false</trackRevisions>
    </reviewItem>
    <reviewItem>
      <errorID>fd1b570d-f040-4c1f-8d99-bc120da9ba99</errorID>
      <errorWord> </errorWord>
      <group>L1_Punc</group>
      <groupName>标点问题</groupName>
      <ability>L2_Punc_CN</ability>
      <abilityName>标点符号问题</abilityName>
      <candidateList>
        <item/>
      </candidateList>
      <explain>此处空格冗余，建议删除。</explain>
      <paraID>29EF90EA</paraID>
      <start>194</start>
      <end>194</end>
      <status>modified</status>
      <modifiedWord/>
      <trackRevisions>false</trackRevisions>
    </reviewItem>
    <reviewItem>
      <errorID>d9e85e20-28c4-4289-8c11-1d541a2fd0eb</errorID>
      <errorWord> </errorWord>
      <group>L1_Punc</group>
      <groupName>标点问题</groupName>
      <ability>L2_Punc_CN</ability>
      <abilityName>标点符号问题</abilityName>
      <candidateList>
        <item/>
      </candidateList>
      <explain>此处空格冗余，建议删除。</explain>
      <paraID>4659547C</paraID>
      <start>141</start>
      <end>141</end>
      <status>modified</status>
      <modifiedWord/>
      <trackRevisions>false</trackRevisions>
    </reviewItem>
    <reviewItem>
      <errorID>592d10fd-b220-42ff-bd1e-4799132eff66</errorID>
      <errorWord>；而</errorWord>
      <group>L1_Word</group>
      <groupName>字词问题</groupName>
      <ability>L2_Typo</ability>
      <abilityName>字词错误</abilityName>
      <candidateList>
        <item>。</item>
      </candidateList>
      <explain/>
      <paraID>4659547C</paraID>
      <start>250</start>
      <end>251</end>
      <status>modified</status>
      <modifiedWord>。</modifiedWord>
      <trackRevisions>false</trackRevisions>
    </reviewItem>
    <reviewItem>
      <errorID>bd3133ec-9586-4874-a5d6-5a3cb1bf7da5</errorID>
      <errorWord>； 而</errorWord>
      <group>L1_Grammar</group>
      <groupName>语法问题</groupName>
      <ability>L2_Grammar</ability>
      <abilityName>语法错误</abilityName>
      <candidateList>
        <item>。</item>
      </candidateList>
      <explain/>
      <paraID>4659547C</paraID>
      <start>398</start>
      <end>399</end>
      <status>modified</status>
      <modifiedWord>。</modifiedWord>
      <trackRevisions>false</trackRevisions>
    </reviewItem>
    <reviewItem>
      <errorID>1fc16835-bf18-45f7-ae39-54879adfee44</errorID>
      <errorWord>，则</errorWord>
      <group>L1_Word</group>
      <groupName>字词问题</groupName>
      <ability>L2_Typo</ability>
      <abilityName>字词错误</abilityName>
      <candidateList>
        <item>，</item>
      </candidateList>
      <explain/>
      <paraID>4659547C</paraID>
      <start>418</start>
      <end>419</end>
      <status>modified</status>
      <modifiedWord>，</modifiedWord>
      <trackRevisions>false</trackRevisions>
    </reviewItem>
    <reviewItem>
      <errorID>eb791ef2-8827-4877-8ec3-b9ce822286ff</errorID>
      <errorWord>极其</errorWord>
      <group>L1_Word</group>
      <groupName>字词问题</groupName>
      <ability>L2_Typo</ability>
      <abilityName>字词错误</abilityName>
      <candidateList>
        <item>上极其</item>
      </candidateList>
      <explain/>
      <paraID>4659547C</paraID>
      <start>444</start>
      <end>447</end>
      <status>modified</status>
      <modifiedWord>上极其</modifiedWord>
      <trackRevisions>false</trackRevisions>
    </reviewItem>
    <reviewItem>
      <errorID>d3e97f70-2daa-4bed-998e-5dd1869895f1</errorID>
      <errorWord>;</errorWord>
      <group>L1_Format</group>
      <groupName>格式问题</groupName>
      <ability>L2_HalfPunc_CN</ability>
      <abilityName>全半角问题</abilityName>
      <candidateList>
        <item>；</item>
      </candidateList>
      <explain>文本全半角错误。</explain>
      <paraID>  499198</paraID>
      <start>625</start>
      <end>626</end>
      <status>modified</status>
      <modifiedWord>；</modifiedWord>
      <trackRevisions>false</trackRevisions>
    </reviewItem>
    <reviewItem>
      <errorID>89507273-dd72-4acc-8315-d005a4d6ff62</errorID>
      <errorWord> </errorWord>
      <group>L1_English</group>
      <groupName>英文问题</groupName>
      <ability>L2_Other_Grammar</ability>
      <abilityName>其他语法问题</abilityName>
      <candidateList>
        <item>,</item>
      </candidateList>
      <explain>疑似单词/词组使用不当, 建议将 修改为,</explain>
      <paraID>1903361C</paraID>
      <start>70</start>
      <end>71</end>
      <status>modified</status>
      <modifiedWord>,</modifiedWord>
      <trackRevisions>false</trackRevisions>
    </reviewItem>
    <reviewItem>
      <errorID>230547d3-fbf3-4da9-8d6c-07c58a727496</errorID>
      <errorWord>34.93±0.27</errorWord>
      <group>L1_English</group>
      <groupName>英文问题</groupName>
      <ability>L2_Space</ability>
      <abilityName>空格不规范问题</abilityName>
      <candidateList>
        <item>34.93 ± 0.27</item>
      </candidateList>
      <explain>疑似单词空格书写不规范，建议将34.93±0.27修改为34.93 ± 0.27</explain>
      <paraID>34F2F953</paraID>
      <start>470</start>
      <end>482</end>
      <status>modified</status>
      <modifiedWord>34.93 ± 0.27</modifiedWord>
      <trackRevisions>false</trackRevisions>
    </reviewItem>
    <reviewItem>
      <errorID>a28a7674-00ba-4377-9cdf-57883589323a</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34F2F953</paraID>
      <start>790</start>
      <end>798</end>
      <status>modified</status>
      <modifiedWord>P &lt; 0.05</modifiedWord>
      <trackRevisions>false</trackRevisions>
    </reviewItem>
    <reviewItem>
      <errorID>cba81035-34a5-43b4-a477-9c7ee4805994</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34F2F953</paraID>
      <start>864</start>
      <end>872</end>
      <status>modified</status>
      <modifiedWord>P &lt; 0.05</modifiedWord>
      <trackRevisions>false</trackRevisions>
    </reviewItem>
    <reviewItem>
      <errorID>dc3c0985-8560-49e7-98b4-f3c4c26a4b54</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34F2F953</paraID>
      <start>1348</start>
      <end>1356</end>
      <status>modified</status>
      <modifiedWord>P &lt; 0.05</modifiedWord>
      <trackRevisions>false</trackRevisions>
    </reviewItem>
    <reviewItem>
      <errorID>dc05a406-ddc1-4e5f-bb6e-76e0bbfce80b</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34F2F953</paraID>
      <start>1447</start>
      <end>1455</end>
      <status>modified</status>
      <modifiedWord>P &lt; 0.05</modifiedWord>
      <trackRevisions>false</trackRevisions>
    </reviewItem>
    <reviewItem>
      <errorID>4a19d2f1-0dff-48c3-bf11-5f1256a28e9c</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34F2F953</paraID>
      <start>1625</start>
      <end>1633</end>
      <status>modified</status>
      <modifiedWord>P &lt; 0.05</modifiedWord>
      <trackRevisions>false</trackRevisions>
    </reviewItem>
    <reviewItem>
      <errorID>28c9b80b-8b7f-4de3-a57a-9e1228e14f57</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34F2F953</paraID>
      <start>1874</start>
      <end>1882</end>
      <status>modified</status>
      <modifiedWord>P &lt; 0.05</modifiedWord>
      <trackRevisions>false</trackRevisions>
    </reviewItem>
    <reviewItem>
      <errorID>ca76c5bd-913e-4df8-a00b-1180ceaa5acb</errorID>
      <errorWord>3.80%—5.17</errorWord>
      <group>L1_English</group>
      <groupName>英文问题</groupName>
      <ability>L2_Other_Grammar</ability>
      <abilityName>其他语法问题</abilityName>
      <candidateList>
        <item>3.80%–5.17</item>
      </candidateList>
      <explain>疑似单词/词组使用不当, 建议将3.80%—5.17修改为3.80%–5.17</explain>
      <paraID>34F2F953</paraID>
      <start>1955</start>
      <end>1965</end>
      <status>modified</status>
      <modifiedWord>3.80%–5.17</modifiedWord>
      <trackRevisions>false</trackRevisions>
    </reviewItem>
    <reviewItem>
      <errorID>307bfcd2-3186-421f-b1a0-328fa10de780</errorID>
      <errorWord>ampk</errorWord>
      <group>L1_English</group>
      <groupName>英文问题</groupName>
      <ability>L2_Case</ability>
      <abilityName>大小写问题</abilityName>
      <candidateList>
        <item>AMPK</item>
      </candidateList>
      <explain>疑似单词大小写错误，建议将ampk修改为AMPK</explain>
      <paraID>4E9D967D</paraID>
      <start>711</start>
      <end>715</end>
      <status>modified</status>
      <modifiedWord>AMPK</modifiedWord>
      <trackRevisions>false</trackRevisions>
    </reviewItem>
    <reviewItem>
      <errorID>bacdba86-f94e-4696-953d-852579c8a6fb</errorID>
      <errorWord>改善</errorWord>
      <group>L1_Grammar</group>
      <groupName>语法问题</groupName>
      <ability>L2_Grammar</ability>
      <abilityName>语法错误</abilityName>
      <candidateList>
        <item>提高</item>
      </candidateList>
      <explain>“水平～改善”搭配不当，建议修改为“水平～提高”。</explain>
      <paraID>445038FD</paraID>
      <start>518</start>
      <end>520</end>
      <status>modified</status>
      <modifiedWord>提高</modifiedWord>
      <trackRevisions>false</trackRevisions>
    </reviewItem>
    <reviewItem>
      <errorID>7a5fbe53-3174-4969-81c0-ceab192488f7</errorID>
      <errorWord>1902.32±7.61</errorWord>
      <group>L1_English</group>
      <groupName>英文问题</groupName>
      <ability>L2_Space</ability>
      <abilityName>空格不规范问题</abilityName>
      <candidateList>
        <item>1902.32 ± 7.61</item>
      </candidateList>
      <explain>疑似单词空格书写不规范，建议将1902.32±7.61修改为1902.32 ± 7.61</explain>
      <paraID>78D8B704</paraID>
      <start>264</start>
      <end>278</end>
      <status>modified</status>
      <modifiedWord>1902.32 ± 7.61</modifiedWord>
      <trackRevisions>false</trackRevisions>
    </reviewItem>
    <reviewItem>
      <errorID>cedb6911-be0d-43a8-819e-221806dd4add</errorID>
      <errorWord>CP5</errorWord>
      <group>L1_Punc</group>
      <groupName>标点问题</groupName>
      <ability>L2_Punc_EN</ability>
      <abilityName>标点符号问题</abilityName>
      <candidateList>
        <item>CP5,</item>
      </candidateList>
      <explain>此处疑似有标点符号缺失，建议将CP5修改为CP5,</explain>
      <paraID>78D8B704</paraID>
      <start>406</start>
      <end>410</end>
      <status>modified</status>
      <modifiedWord>CP5,</modifiedWord>
      <trackRevisions>false</trackRevisions>
    </reviewItem>
    <reviewItem>
      <errorID>da373d32-eee0-4246-be39-b33b3db0cfda</errorID>
      <errorWord>with </errorWord>
      <group>L1_English</group>
      <groupName>英文问题</groupName>
      <ability>L2_Word</ability>
      <abilityName>字词问题</abilityName>
      <candidateList>
        <item/>
      </candidateList>
      <explain>介词with 疑似冗余，建议删除</explain>
      <paraID>78D8B704</paraID>
      <start>428</start>
      <end>428</end>
      <status>modified</status>
      <modifiedWord/>
      <trackRevisions>false</trackRevisions>
    </reviewItem>
    <reviewItem>
      <errorID>773a03f6-bc06-4b30-8b4a-741956c9cf10</errorID>
      <errorWord>%</errorWord>
      <group>L1_Punc</group>
      <groupName>标点问题</groupName>
      <ability>L2_Punc_EN</ability>
      <abilityName>标点符号问题</abilityName>
      <candidateList>
        <item>%,</item>
      </candidateList>
      <explain>此处疑似有标点符号缺失，建议将%修改为%,</explain>
      <paraID>78D8B704</paraID>
      <start>482</start>
      <end>484</end>
      <status>modified</status>
      <modifiedWord>%,</modifiedWord>
      <trackRevisions>false</trackRevisions>
    </reviewItem>
    <reviewItem>
      <errorID>c4d0c649-a974-48b9-8e81-4ead6d5bcd63</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78D8B704</paraID>
      <start>943</start>
      <end>951</end>
      <status>modified</status>
      <modifiedWord>P &lt; 0.05</modifiedWord>
      <trackRevisions>false</trackRevisions>
    </reviewItem>
    <reviewItem>
      <errorID>e752ae25-0dd6-4dfb-a7e8-a682e19ec056</errorID>
      <errorWord>P&lt;0.05</errorWord>
      <group>L1_English</group>
      <groupName>英文问题</groupName>
      <ability>L2_Space</ability>
      <abilityName>空格不规范问题</abilityName>
      <candidateList>
        <item>P &lt; 0.05</item>
      </candidateList>
      <explain>疑似单词空格书写不规范，建议将P&lt;0.05修改为P &lt; 0.05</explain>
      <paraID>78D8B704</paraID>
      <start>1058</start>
      <end>1066</end>
      <status>modified</status>
      <modifiedWord>P &lt; 0.05</modifiedWord>
      <trackRevisions>false</trackRevisions>
    </reviewItem>
    <reviewItem>
      <errorID>cc4c2043-87e2-49ca-aa41-d9ea34bea4b8</errorID>
      <errorWord>36.45%~40.86%</errorWord>
      <group>L1_Knowledge</group>
      <groupName>知识性问题</groupName>
      <ability>L2_Knowledge</ability>
      <abilityName>其他知识</abilityName>
      <candidateList>
        <item>36.45%～40.86%</item>
      </candidateList>
      <explain>1. “36.45%~40.86%”中的单位“%”仅出现在后一个数字上，容易引起歧义；根据《现代汉语标点符号数字用法规范手册》，数字表示范围两边需要使用统一的格式。2. 根据标点国标 4.13 中的规则，数字、时间或地域连接符应使用（视觉上更长的）“—”或“～”。</explain>
      <paraID>216B17DE</paraID>
      <start>65</start>
      <end>78</end>
      <status>modified</status>
      <modifiedWord>36.45%～40.86%</modifiedWord>
      <trackRevisions>false</trackRevisions>
    </reviewItem>
    <reviewItem>
      <errorID>4bd86708-07f1-4d4e-8e7f-774ab9b2e47e</errorID>
      <errorWord>36.14%~37.90%</errorWord>
      <group>L1_Knowledge</group>
      <groupName>知识性问题</groupName>
      <ability>L2_Knowledge</ability>
      <abilityName>其他知识</abilityName>
      <candidateList>
        <item>36.14%～37.90%</item>
      </candidateList>
      <explain>1. “36.14%~37.90%”中的单位“%”仅出现在后一个数字上，容易引起歧义；根据《现代汉语标点符号数字用法规范手册》，数字表示范围两边需要使用统一的格式。2. 根据标点国标 4.13 中的规则，数字、时间或地域连接符应使用（视觉上更长的）“—”或“～”。</explain>
      <paraID>216B17DE</paraID>
      <start>169</start>
      <end>182</end>
      <status>modified</status>
      <modifiedWord>36.14%～37.90%</modifiedWord>
      <trackRevisions>false</trackRevisions>
    </reviewItem>
    <reviewItem>
      <errorID>3250b405-ee4c-4f78-a850-a377bd06f6f2</errorID>
      <errorWord>31.29%~33.17%</errorWord>
      <group>L1_Knowledge</group>
      <groupName>知识性问题</groupName>
      <ability>L2_Knowledge</ability>
      <abilityName>其他知识</abilityName>
      <candidateList>
        <item>31.29%～33.17%</item>
      </candidateList>
      <explain>1. “31.29%~33.17%”中的单位“%”仅出现在后一个数字上，容易引起歧义；根据《现代汉语标点符号数字用法规范手册》，数字表示范围两边需要使用统一的格式。2. 根据标点国标 4.13 中的规则，数字、时间或地域连接符应使用（视觉上更长的）“—”或“～”。</explain>
      <paraID>216B17DE</paraID>
      <start>212</start>
      <end>225</end>
      <status>modified</status>
      <modifiedWord>31.29%～33.17%</modifiedWord>
      <trackRevisions>false</trackRevisions>
    </reviewItem>
    <reviewItem>
      <errorID>a9c3572e-cc46-4c48-99d5-cda782ea8fee</errorID>
      <errorWord>~</errorWord>
      <group>L1_Format</group>
      <groupName>格式问题</groupName>
      <ability>L2_HalfPunc_CN</ability>
      <abilityName>全半角问题</abilityName>
      <candidateList>
        <item>～</item>
      </candidateList>
      <explain>文本全半角错误。</explain>
      <paraID> 762E329</paraID>
      <start>97</start>
      <end>98</end>
      <status>modified</status>
      <modifiedWord>～</modifiedWord>
      <trackRevisions>false</trackRevisions>
    </reviewItem>
    <reviewItem>
      <errorID>c6fadfc9-3e9b-43f3-b3ff-4128325e5d20</errorID>
      <errorWord>：</errorWord>
      <group>L1_Format</group>
      <groupName>格式问题</groupName>
      <ability>L2_HalfPunc_CN</ability>
      <abilityName>全半角问题</abilityName>
      <candidateList>
        <item>:</item>
      </candidateList>
      <explain>文本全半角错误。</explain>
      <paraID> 762E329</paraID>
      <start>222</start>
      <end>223</end>
      <status>modified</status>
      <modifiedWord>:</modifiedWord>
      <trackRevisions>false</trackRevisions>
    </reviewItem>
    <reviewItem>
      <errorID>a0782a4a-b736-4f29-bb5b-2f381ae95322</errorID>
      <errorWord>：</errorWord>
      <group>L1_Format</group>
      <groupName>格式问题</groupName>
      <ability>L2_HalfPunc_CN</ability>
      <abilityName>全半角问题</abilityName>
      <candidateList>
        <item>:</item>
      </candidateList>
      <explain>文本全半角错误。</explain>
      <paraID> 762E329</paraID>
      <start>228</start>
      <end>229</end>
      <status>modified</status>
      <modifiedWord>:</modifiedWord>
      <trackRevisions>false</trackRevisions>
    </reviewItem>
    <reviewItem>
      <errorID>db971dcc-e892-4714-8f45-98bd962213fe</errorID>
      <errorWord>：</errorWord>
      <group>L1_Format</group>
      <groupName>格式问题</groupName>
      <ability>L2_HalfPunc_CN</ability>
      <abilityName>全半角问题</abilityName>
      <candidateList>
        <item>:</item>
      </candidateList>
      <explain>文本全半角错误。</explain>
      <paraID> 762E329</paraID>
      <start>234</start>
      <end>235</end>
      <status>modified</status>
      <modifiedWord>:</modifiedWord>
      <trackRevisions>false</trackRevisions>
    </reviewItem>
    <reviewItem>
      <errorID>ea8f0b87-f3db-4974-a40f-0625dd3acc4d</errorID>
      <errorWord>：</errorWord>
      <group>L1_Format</group>
      <groupName>格式问题</groupName>
      <ability>L2_HalfPunc_CN</ability>
      <abilityName>全半角问题</abilityName>
      <candidateList>
        <item>:</item>
      </candidateList>
      <explain>文本全半角错误。</explain>
      <paraID> 762E329</paraID>
      <start>240</start>
      <end>241</end>
      <status>modified</status>
      <modifiedWord>:</modifiedWord>
      <trackRevisions>false</trackRevisions>
    </reviewItem>
    <reviewItem>
      <errorID>bbf99b63-b3fa-4194-90af-c36eaf75d3d4</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 762E329</paraID>
      <start>267</start>
      <end>276</end>
      <status>modified</status>
      <modifiedWord>1.5%～2.0%</modifiedWord>
      <trackRevisions>false</trackRevisions>
    </reviewItem>
    <reviewItem>
      <errorID>f2deed55-2aae-466e-bc9e-9a944f428ac2</errorID>
      <errorWord>;</errorWord>
      <group>L1_Format</group>
      <groupName>格式问题</groupName>
      <ability>L2_HalfPunc_CN</ability>
      <abilityName>全半角问题</abilityName>
      <candidateList>
        <item>；</item>
      </candidateList>
      <explain>文本全半角错误。</explain>
      <paraID>32292B70</paraID>
      <start>140</start>
      <end>141</end>
      <status>modified</status>
      <modifiedWord>；</modifiedWord>
      <trackRevisions>false</trackRevisions>
    </reviewItem>
    <reviewItem>
      <errorID>7057a2a0-3b55-432b-8aba-cf153a25a480</errorID>
      <errorWord>呈先</errorWord>
      <group>L1_Word</group>
      <groupName>字词问题</groupName>
      <ability>L2_Typo</ability>
      <abilityName>字词错误</abilityName>
      <candidateList>
        <item>呈现</item>
      </candidateList>
      <explain/>
      <paraID>76C78FE7</paraID>
      <start>22</start>
      <end>24</end>
      <status>modified</status>
      <modifiedWord>呈现</modifiedWord>
      <trackRevisions>false</trackRevisions>
    </reviewItem>
    <reviewItem>
      <errorID>bca5efe1-093a-41c1-8108-bd28dc4b5a34</errorID>
      <errorWord>呈先</errorWord>
      <group>L1_Word</group>
      <groupName>字词问题</groupName>
      <ability>L2_Typo</ability>
      <abilityName>字词错误</abilityName>
      <candidateList>
        <item>呈现</item>
      </candidateList>
      <explain/>
      <paraID>725B6C0F</paraID>
      <start>30</start>
      <end>32</end>
      <status>modified</status>
      <modifiedWord>呈现</modifiedWord>
      <trackRevisions>false</trackRevisions>
    </reviewItem>
    <reviewItem>
      <errorID>362d7918-8e71-433b-84c9-9ef6b6ddba39</errorID>
      <errorWord>与在</errorWord>
      <group>L1_Word</group>
      <groupName>字词问题</groupName>
      <ability>L2_Typo</ability>
      <abilityName>字词错误</abilityName>
      <candidateList>
        <item>与</item>
      </candidateList>
      <explain/>
      <paraID> 3EEE900</paraID>
      <start>159</start>
      <end>160</end>
      <status>modified</status>
      <modifiedWord>与</modifiedWord>
      <trackRevisions>false</trackRevisions>
    </reviewItem>
    <reviewItem>
      <errorID>eb925905-5138-4cc3-9c05-503f1179ee25</errorID>
      <errorWord>26.5%~27.2%</errorWord>
      <group>L1_Knowledge</group>
      <groupName>知识性问题</groupName>
      <ability>L2_Knowledge</ability>
      <abilityName>其他知识</abilityName>
      <candidateList>
        <item>26.5%～27.2%</item>
      </candidateList>
      <explain>1. “26.5%~27.2%”中的单位“%”仅出现在后一个数字上，容易引起歧义；根据《现代汉语标点符号数字用法规范手册》，数字表示范围两边需要使用统一的格式。2. 根据标点国标 4.13 中的规则，数字、时间或地域连接符应使用（视觉上更长的）“—”或“～”。</explain>
      <paraID> 3EEE900</paraID>
      <start>586</start>
      <end>597</end>
      <status>modified</status>
      <modifiedWord>26.5%～27.2%</modifiedWord>
      <trackRevisions>false</trackRevisions>
    </reviewItem>
    <reviewItem>
      <errorID>c2f3a384-5427-425a-8a36-c059defd8571</errorID>
      <errorWord>~</errorWord>
      <group>L1_Format</group>
      <groupName>格式问题</groupName>
      <ability>L2_HalfPunc_CN</ability>
      <abilityName>全半角问题</abilityName>
      <candidateList>
        <item>～</item>
      </candidateList>
      <explain>文本全半角错误。</explain>
      <paraID> 3EEE900</paraID>
      <start>606</start>
      <end>607</end>
      <status>modified</status>
      <modifiedWord>～</modifiedWord>
      <trackRevisions>false</trackRevisions>
    </reviewItem>
    <reviewItem>
      <errorID>67437d3c-c9bb-45b3-b017-fb8a892bb288</errorID>
      <errorWord>显著性</errorWord>
      <group>L1_Word</group>
      <groupName>字词问题</groupName>
      <ability>L2_Typo</ability>
      <abilityName>字词错误</abilityName>
      <candidateList>
        <item>显著</item>
      </candidateList>
      <explain/>
      <paraID>192C340F</paraID>
      <start>180</start>
      <end>182</end>
      <status>modified</status>
      <modifiedWord>显著</modifiedWord>
      <trackRevisions>false</trackRevisions>
    </reviewItem>
    <reviewItem>
      <errorID>a9855639-d98a-49c7-98cb-14fee18efdd0</errorID>
      <errorWord>雷帕霉素</errorWord>
      <group>L1_Knowledge</group>
      <groupName>知识性问题</groupName>
      <ability>L2_Term</ability>
      <abilityName>专业术语</abilityName>
      <candidateList>
        <item>西罗莫司</item>
      </candidateList>
      <explain>医学名词[雷帕霉素]为不规范表述或旧称，其规范书面表述为[西罗莫司]。</explain>
      <paraID>467BFAA3</paraID>
      <start>142</start>
      <end>146</end>
      <status>modified</status>
      <modifiedWord>西罗莫司</modifiedWord>
      <trackRevisions>false</trackRevisions>
    </reviewItem>
    <reviewItem>
      <errorID>17aacb97-b346-460d-9636-6cf85dbf7625</errorID>
      <errorWord>改善</errorWord>
      <group>L1_Grammar</group>
      <groupName>语法问题</groupName>
      <ability>L2_Grammar</ability>
      <abilityName>语法错误</abilityName>
      <candidateList>
        <item>提高</item>
      </candidateList>
      <explain>“水平～改善”搭配不当，建议修改为“水平～提高”。</explain>
      <paraID>10C4D43B</paraID>
      <start>19</start>
      <end>21</end>
      <status>modified</status>
      <modifiedWord>提高</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6614BF-1805-498F-BA73-BF7C705B37E9}">
  <ds:schemaRefs/>
</ds:datastoreItem>
</file>

<file path=customXml/itemProps3.xml><?xml version="1.0" encoding="utf-8"?>
<ds:datastoreItem xmlns:ds="http://schemas.openxmlformats.org/officeDocument/2006/customXml" ds:itemID="{86D54025-48C4-449C-831F-1F1C01A09F9B}">
  <ds:schemaRefs/>
</ds:datastoreItem>
</file>

<file path=docProps/app.xml><?xml version="1.0" encoding="utf-8"?>
<Properties xmlns="http://schemas.openxmlformats.org/officeDocument/2006/extended-properties" xmlns:vt="http://schemas.openxmlformats.org/officeDocument/2006/docPropsVTypes">
  <Template>Normal</Template>
  <Company>Win10NeT.COM</Company>
  <Pages>81</Pages>
  <Words>54615</Words>
  <Characters>71383</Characters>
  <Lines>598</Lines>
  <Paragraphs>168</Paragraphs>
  <TotalTime>4</TotalTime>
  <ScaleCrop>false</ScaleCrop>
  <LinksUpToDate>false</LinksUpToDate>
  <CharactersWithSpaces>74011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2026-08-31T12:19:00Z</dcterms:created>
  <dc:creator>Administrator</dc:creator>
  <cp:lastModifiedBy>❀薇❀</cp:lastModifiedBy>
  <cp:lastPrinted>2020-12-15T10:48:00Z</cp:lastPrinted>
  <dcterms:modified xsi:type="dcterms:W3CDTF">2026-09-01T08:16:29Z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415A88968DFC4BC6BDB8503C30571C49_13</vt:lpwstr>
  </property>
  <property fmtid="{D5CDD505-2E9C-101B-9397-08002B2CF9AE}" pid="4" name="KSOTemplateDocerSaveRecord">
    <vt:lpwstr>eyJoZGlkIjoiMWMyYjZjZjJjMWFkM2ZiY2ExMzMwNmQxZDUxNDM0M2IiLCJ1c2VySWQiOiIzNzk3MzkwNDEifQ==</vt:lpwstr>
  </property>
</Properties>
</file>