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w:t>
      </w:r>
    </w:p>
    <w:p>
      <w:pPr>
        <w:pStyle w:val="13"/>
        <w:rPr>
          <w:rFonts w:ascii="宋体" w:hAnsi="宋体" w:cs="宋体"/>
        </w:rPr>
      </w:pPr>
    </w:p>
    <w:p>
      <w:pPr>
        <w:widowControl/>
        <w:spacing w:line="560" w:lineRule="exact"/>
        <w:jc w:val="center"/>
        <w:rPr>
          <w:rFonts w:ascii="宋体" w:hAnsi="宋体"/>
          <w:b/>
          <w:bCs/>
          <w:color w:val="333333"/>
          <w:sz w:val="44"/>
          <w:szCs w:val="44"/>
          <w:shd w:val="clear" w:color="auto" w:fill="FFFFFF"/>
        </w:rPr>
      </w:pPr>
      <w:r>
        <w:rPr>
          <w:rFonts w:hint="eastAsia" w:ascii="宋体" w:hAnsi="宋体"/>
          <w:b/>
          <w:bCs/>
          <w:color w:val="333333"/>
          <w:sz w:val="44"/>
          <w:szCs w:val="44"/>
          <w:shd w:val="clear" w:color="auto" w:fill="FFFFFF"/>
          <w:lang w:val="en-US" w:eastAsia="zh-CN"/>
        </w:rPr>
        <w:t>AIS数据查询服务</w:t>
      </w:r>
      <w:r>
        <w:rPr>
          <w:rFonts w:hint="eastAsia" w:ascii="宋体" w:hAnsi="宋体"/>
          <w:b/>
          <w:bCs/>
          <w:color w:val="333333"/>
          <w:sz w:val="44"/>
          <w:szCs w:val="44"/>
          <w:shd w:val="clear" w:color="auto" w:fill="FFFFFF"/>
        </w:rPr>
        <w:t>技术指标</w:t>
      </w:r>
    </w:p>
    <w:p>
      <w:pPr>
        <w:widowControl/>
        <w:spacing w:line="560" w:lineRule="exact"/>
        <w:ind w:firstLine="880" w:firstLineChars="200"/>
        <w:jc w:val="center"/>
        <w:rPr>
          <w:rFonts w:ascii="仿宋" w:hAnsi="仿宋" w:eastAsia="仿宋" w:cs="仿宋"/>
          <w:color w:val="333333"/>
          <w:sz w:val="44"/>
          <w:szCs w:val="44"/>
          <w:shd w:val="clear" w:color="auto" w:fill="FFFFFF"/>
        </w:rPr>
      </w:pP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一、招标内容</w:t>
      </w:r>
    </w:p>
    <w:p>
      <w:pPr>
        <w:spacing w:line="560" w:lineRule="exact"/>
        <w:ind w:firstLine="643" w:firstLineChars="200"/>
        <w:rPr>
          <w:rFonts w:ascii="仿宋_GB2312" w:hAnsi="仿宋_GB2312" w:eastAsia="仿宋_GB2312" w:cs="仿宋_GB2312"/>
          <w:sz w:val="28"/>
          <w:szCs w:val="28"/>
        </w:rPr>
      </w:pPr>
      <w:r>
        <w:rPr>
          <w:rFonts w:hint="eastAsia" w:ascii="楷体" w:hAnsi="楷体" w:eastAsia="楷体" w:cs="楷体"/>
          <w:b/>
          <w:bCs/>
          <w:sz w:val="32"/>
          <w:szCs w:val="32"/>
        </w:rPr>
        <w:t>(一)版本及用户数要求</w:t>
      </w:r>
      <w:r>
        <w:rPr>
          <w:rFonts w:hint="eastAsia" w:ascii="仿宋" w:hAnsi="仿宋" w:eastAsia="仿宋" w:cs="仿宋"/>
          <w:sz w:val="32"/>
          <w:szCs w:val="32"/>
        </w:rPr>
        <w:t>：可以按需求提供</w:t>
      </w:r>
      <w:r>
        <w:rPr>
          <w:rFonts w:hint="eastAsia" w:ascii="仿宋_GB2312" w:hAnsi="仿宋_GB2312" w:eastAsia="仿宋_GB2312" w:cs="仿宋_GB2312"/>
          <w:sz w:val="28"/>
          <w:szCs w:val="28"/>
          <w:lang w:eastAsia="zh-CN"/>
        </w:rPr>
        <w:t>不少于</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个工作账号，不限制登陆人数</w:t>
      </w:r>
    </w:p>
    <w:p>
      <w:pPr>
        <w:spacing w:line="560" w:lineRule="exact"/>
        <w:ind w:firstLine="643" w:firstLineChars="200"/>
        <w:rPr>
          <w:rFonts w:ascii="仿宋_GB2312" w:hAnsi="仿宋_GB2312" w:eastAsia="仿宋_GB2312" w:cs="仿宋_GB2312"/>
          <w:sz w:val="28"/>
          <w:szCs w:val="28"/>
        </w:rPr>
      </w:pPr>
      <w:r>
        <w:rPr>
          <w:rFonts w:hint="eastAsia" w:ascii="楷体" w:hAnsi="楷体" w:eastAsia="楷体" w:cs="楷体"/>
          <w:b/>
          <w:bCs/>
          <w:sz w:val="32"/>
          <w:szCs w:val="32"/>
        </w:rPr>
        <w:t>(二)功能模块要求：</w:t>
      </w:r>
      <w:r>
        <w:rPr>
          <w:rFonts w:hint="eastAsia" w:ascii="仿宋_GB2312" w:hAnsi="仿宋_GB2312" w:eastAsia="仿宋_GB2312" w:cs="仿宋_GB2312"/>
          <w:sz w:val="28"/>
          <w:szCs w:val="28"/>
        </w:rPr>
        <w:t>查询全球船舶实时位置、历史航行轨迹、</w:t>
      </w:r>
      <w:r>
        <w:rPr>
          <w:rFonts w:hint="eastAsia" w:ascii="仿宋_GB2312" w:hAnsi="仿宋_GB2312" w:eastAsia="仿宋_GB2312" w:cs="仿宋_GB2312"/>
          <w:color w:val="auto"/>
          <w:sz w:val="28"/>
          <w:szCs w:val="28"/>
        </w:rPr>
        <w:t>船舶档案；查询单船和区域的轨迹回放；系统可监管指定区域并并对进入围栏船舶异常行为进行自动提</w:t>
      </w:r>
      <w:r>
        <w:rPr>
          <w:rFonts w:hint="eastAsia" w:ascii="仿宋_GB2312" w:hAnsi="仿宋_GB2312" w:eastAsia="仿宋_GB2312" w:cs="仿宋_GB2312"/>
          <w:sz w:val="28"/>
          <w:szCs w:val="28"/>
        </w:rPr>
        <w:t>醒和报警，包括长时间停留、信号消失等报警提醒；系统支持增加关注船舶和设置电子围栏</w:t>
      </w:r>
      <w:bookmarkStart w:id="0" w:name="_GoBack"/>
      <w:bookmarkEnd w:id="0"/>
      <w:r>
        <w:rPr>
          <w:rFonts w:hint="eastAsia" w:ascii="仿宋_GB2312" w:hAnsi="仿宋_GB2312" w:eastAsia="仿宋_GB2312" w:cs="仿宋_GB2312"/>
          <w:sz w:val="28"/>
          <w:szCs w:val="28"/>
        </w:rPr>
        <w:t>等功能；</w:t>
      </w:r>
      <w:r>
        <w:rPr>
          <w:rFonts w:ascii="仿宋_GB2312" w:hAnsi="仿宋_GB2312" w:eastAsia="仿宋_GB2312" w:cs="仿宋_GB2312"/>
          <w:sz w:val="28"/>
          <w:szCs w:val="28"/>
        </w:rPr>
        <w:t>系统提供距离测量、区域标记、点标记、线标记等地图工具</w:t>
      </w:r>
      <w:r>
        <w:rPr>
          <w:rFonts w:hint="eastAsia" w:ascii="仿宋_GB2312" w:hAnsi="仿宋_GB2312" w:eastAsia="仿宋_GB2312" w:cs="仿宋_GB2312"/>
          <w:sz w:val="28"/>
          <w:szCs w:val="28"/>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二、招标要求</w:t>
      </w:r>
    </w:p>
    <w:p>
      <w:pPr>
        <w:widowControl/>
        <w:shd w:val="clear" w:color="auto" w:fill="FFFFFF"/>
        <w:spacing w:line="560" w:lineRule="exact"/>
        <w:ind w:firstLine="480"/>
        <w:rPr>
          <w:rFonts w:ascii="仿宋_GB2312" w:hAnsi="仿宋_GB2312" w:eastAsia="仿宋_GB2312" w:cs="仿宋_GB2312"/>
          <w:sz w:val="28"/>
          <w:szCs w:val="28"/>
        </w:rPr>
      </w:pPr>
      <w:r>
        <w:rPr>
          <w:rFonts w:hint="eastAsia" w:ascii="楷体" w:hAnsi="楷体" w:eastAsia="楷体" w:cs="楷体"/>
          <w:b/>
          <w:bCs/>
          <w:sz w:val="32"/>
          <w:szCs w:val="32"/>
        </w:rPr>
        <w:t>(一)总体要求。</w:t>
      </w:r>
      <w:r>
        <w:rPr>
          <w:rFonts w:hint="eastAsia" w:ascii="仿宋_GB2312" w:hAnsi="仿宋_GB2312" w:eastAsia="仿宋_GB2312" w:cs="仿宋_GB2312"/>
          <w:sz w:val="28"/>
          <w:szCs w:val="28"/>
        </w:rPr>
        <w:t>本项目主要为福建省渔业减灾中心提高突发事件应急处置能力，切实保障渔民群众的生命财产安全。</w:t>
      </w:r>
    </w:p>
    <w:p>
      <w:pPr>
        <w:widowControl/>
        <w:shd w:val="clear" w:color="auto" w:fill="FFFFFF"/>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要求本项目供应商提供成熟</w:t>
      </w:r>
      <w:r>
        <w:rPr>
          <w:rFonts w:hint="eastAsia" w:ascii="仿宋_GB2312" w:hAnsi="仿宋_GB2312" w:eastAsia="仿宋_GB2312" w:cs="仿宋_GB2312"/>
          <w:color w:val="auto"/>
          <w:sz w:val="28"/>
          <w:szCs w:val="28"/>
        </w:rPr>
        <w:t>的海事数据库</w:t>
      </w:r>
      <w:r>
        <w:rPr>
          <w:rFonts w:hint="eastAsia" w:ascii="仿宋_GB2312" w:hAnsi="仿宋_GB2312" w:eastAsia="仿宋_GB2312" w:cs="仿宋_GB2312"/>
          <w:sz w:val="28"/>
          <w:szCs w:val="28"/>
        </w:rPr>
        <w:t>和船舶AIS数据系统，</w:t>
      </w:r>
      <w:r>
        <w:rPr>
          <w:rFonts w:hint="eastAsia" w:ascii="仿宋_GB2312" w:hAnsi="仿宋_GB2312" w:eastAsia="仿宋_GB2312" w:cs="仿宋_GB2312"/>
          <w:sz w:val="28"/>
          <w:szCs w:val="28"/>
          <w:lang w:eastAsia="zh-CN"/>
        </w:rPr>
        <w:t>提供</w:t>
      </w:r>
      <w:r>
        <w:rPr>
          <w:rFonts w:hint="eastAsia" w:ascii="仿宋_GB2312" w:hAnsi="仿宋_GB2312" w:eastAsia="仿宋_GB2312" w:cs="仿宋_GB2312"/>
          <w:sz w:val="28"/>
          <w:szCs w:val="28"/>
        </w:rPr>
        <w:t>不少于</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个工作账号。</w:t>
      </w:r>
    </w:p>
    <w:p>
      <w:pPr>
        <w:widowControl/>
        <w:numPr>
          <w:ilvl w:val="0"/>
          <w:numId w:val="1"/>
        </w:numPr>
        <w:shd w:val="clear" w:color="auto" w:fill="FFFFFF"/>
        <w:spacing w:line="560" w:lineRule="exact"/>
        <w:ind w:firstLine="480"/>
        <w:rPr>
          <w:rFonts w:ascii="楷体" w:hAnsi="楷体" w:eastAsia="楷体" w:cs="楷体"/>
          <w:b/>
          <w:bCs/>
          <w:sz w:val="32"/>
          <w:szCs w:val="32"/>
        </w:rPr>
      </w:pPr>
      <w:r>
        <w:rPr>
          <w:rFonts w:hint="eastAsia" w:ascii="楷体" w:hAnsi="楷体" w:eastAsia="楷体" w:cs="楷体"/>
          <w:b/>
          <w:bCs/>
          <w:sz w:val="32"/>
          <w:szCs w:val="32"/>
        </w:rPr>
        <w:t>具体内容和标准</w:t>
      </w:r>
    </w:p>
    <w:p>
      <w:pPr>
        <w:widowControl/>
        <w:shd w:val="clear" w:color="auto" w:fill="FFFFFF"/>
        <w:spacing w:line="560" w:lineRule="exact"/>
        <w:ind w:firstLine="560" w:firstLineChars="200"/>
      </w:pPr>
      <w:r>
        <w:rPr>
          <w:rFonts w:hint="eastAsia" w:ascii="仿宋_GB2312" w:hAnsi="仿宋_GB2312" w:eastAsia="仿宋_GB2312" w:cs="仿宋_GB2312"/>
          <w:sz w:val="28"/>
          <w:szCs w:val="28"/>
        </w:rPr>
        <w:t>账号登录后能满足采购人以下工作需要：</w:t>
      </w:r>
    </w:p>
    <w:tbl>
      <w:tblPr>
        <w:tblStyle w:val="11"/>
        <w:tblpPr w:leftFromText="180" w:rightFromText="180" w:vertAnchor="text" w:horzAnchor="page" w:tblpX="1920" w:tblpY="8"/>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55"/>
        <w:gridCol w:w="1559"/>
        <w:gridCol w:w="5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0" w:type="dxa"/>
            <w:vAlign w:val="center"/>
          </w:tcPr>
          <w:p>
            <w:pPr>
              <w:spacing w:line="300" w:lineRule="exact"/>
              <w:jc w:val="center"/>
              <w:rPr>
                <w:rFonts w:ascii="Times New Roman" w:hAnsi="Times New Roman" w:cs="Times New Roman"/>
                <w:b/>
                <w:bCs/>
                <w:color w:val="auto"/>
                <w:szCs w:val="21"/>
              </w:rPr>
            </w:pPr>
            <w:r>
              <w:rPr>
                <w:rFonts w:hint="eastAsia" w:ascii="Times New Roman" w:hAnsi="Times New Roman" w:cs="Times New Roman"/>
                <w:b/>
                <w:bCs/>
                <w:color w:val="auto"/>
                <w:szCs w:val="21"/>
              </w:rPr>
              <w:t>序号</w:t>
            </w:r>
          </w:p>
        </w:tc>
        <w:tc>
          <w:tcPr>
            <w:tcW w:w="2414" w:type="dxa"/>
            <w:gridSpan w:val="2"/>
            <w:vAlign w:val="center"/>
          </w:tcPr>
          <w:p>
            <w:pPr>
              <w:spacing w:line="300" w:lineRule="exact"/>
              <w:jc w:val="center"/>
              <w:rPr>
                <w:rFonts w:ascii="Times New Roman" w:hAnsi="Times New Roman" w:cs="Times New Roman"/>
                <w:b/>
                <w:bCs/>
                <w:color w:val="auto"/>
                <w:szCs w:val="21"/>
              </w:rPr>
            </w:pPr>
            <w:r>
              <w:rPr>
                <w:rFonts w:hint="eastAsia" w:ascii="Times New Roman" w:hAnsi="Times New Roman" w:cs="Times New Roman"/>
                <w:b/>
                <w:bCs/>
                <w:color w:val="auto"/>
                <w:szCs w:val="21"/>
              </w:rPr>
              <w:t>系统功能</w:t>
            </w:r>
          </w:p>
        </w:tc>
        <w:tc>
          <w:tcPr>
            <w:tcW w:w="5519" w:type="dxa"/>
            <w:vAlign w:val="center"/>
          </w:tcPr>
          <w:p>
            <w:pPr>
              <w:spacing w:line="300" w:lineRule="exact"/>
              <w:jc w:val="center"/>
              <w:rPr>
                <w:rFonts w:ascii="Times New Roman" w:hAnsi="Times New Roman" w:cs="Times New Roman"/>
                <w:b/>
                <w:bCs/>
                <w:color w:val="auto"/>
                <w:szCs w:val="21"/>
              </w:rPr>
            </w:pPr>
            <w:r>
              <w:rPr>
                <w:rFonts w:hint="eastAsia" w:ascii="Times New Roman" w:hAnsi="Times New Roman" w:cs="Times New Roman"/>
                <w:b/>
                <w:bCs/>
                <w:color w:val="auto"/>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1</w:t>
            </w:r>
          </w:p>
        </w:tc>
        <w:tc>
          <w:tcPr>
            <w:tcW w:w="855" w:type="dxa"/>
            <w:vMerge w:val="restart"/>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信息</w:t>
            </w:r>
          </w:p>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展示</w:t>
            </w:r>
          </w:p>
          <w:p>
            <w:pPr>
              <w:spacing w:line="300" w:lineRule="exact"/>
              <w:jc w:val="center"/>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船舶位置</w:t>
            </w: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可查询全球范围内任意船舶最新动态位置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2</w:t>
            </w: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轨迹</w:t>
            </w: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提供</w:t>
            </w:r>
            <w:r>
              <w:rPr>
                <w:rFonts w:ascii="Times New Roman" w:hAnsi="Times New Roman" w:cs="Times New Roman"/>
                <w:color w:val="auto"/>
                <w:szCs w:val="21"/>
              </w:rPr>
              <w:t>2</w:t>
            </w:r>
            <w:r>
              <w:rPr>
                <w:rFonts w:hint="eastAsia" w:ascii="Times New Roman" w:hAnsi="Times New Roman" w:cs="Times New Roman"/>
                <w:color w:val="auto"/>
                <w:szCs w:val="21"/>
              </w:rPr>
              <w:t>年历史轨迹查询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3</w:t>
            </w: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电子围栏</w:t>
            </w: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可对特定区域设置电子围栏，并对进入围栏船舶异常行为进行自动提醒和报警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4</w:t>
            </w: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船舶档案</w:t>
            </w: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查询船舶档案、船舶国籍、管理公司及船公司船队分布等</w:t>
            </w:r>
            <w:r>
              <w:rPr>
                <w:rFonts w:hint="eastAsia" w:ascii="Times New Roman" w:hAnsi="Times New Roman" w:cs="Times New Roman"/>
                <w:color w:val="auto"/>
                <w:szCs w:val="21"/>
              </w:rPr>
              <w:t>，档案更新即时性高。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5</w:t>
            </w: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靠港记录</w:t>
            </w: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系统提供全球船舶</w:t>
            </w:r>
            <w:r>
              <w:rPr>
                <w:rFonts w:ascii="Times New Roman" w:hAnsi="Times New Roman" w:cs="Times New Roman"/>
                <w:color w:val="auto"/>
                <w:szCs w:val="21"/>
              </w:rPr>
              <w:t>1</w:t>
            </w:r>
            <w:r>
              <w:rPr>
                <w:rFonts w:hint="eastAsia" w:ascii="Times New Roman" w:hAnsi="Times New Roman" w:cs="Times New Roman"/>
                <w:color w:val="auto"/>
                <w:szCs w:val="21"/>
              </w:rPr>
              <w:t>年历史的航次查询，包含停靠港口、停靠国家、到港时间、离港时间、停留时间、到泊时间等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6</w:t>
            </w: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船舶定制</w:t>
            </w: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可设定渔船编组生产的船队，可以将重点关注船舶一直突出显示在海图上，每次登陆账号可以一目了然看到船队分布情况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7</w:t>
            </w: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区域轨迹回放</w:t>
            </w:r>
          </w:p>
        </w:tc>
        <w:tc>
          <w:tcPr>
            <w:tcW w:w="5519" w:type="dxa"/>
            <w:vAlign w:val="center"/>
          </w:tcPr>
          <w:p>
            <w:pPr>
              <w:spacing w:line="300" w:lineRule="exact"/>
              <w:rPr>
                <w:rFonts w:ascii="Times New Roman" w:hAnsi="Times New Roman" w:cs="Times New Roman"/>
                <w:color w:val="auto"/>
                <w:szCs w:val="21"/>
              </w:rPr>
            </w:pPr>
          </w:p>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可以指定任意时间和区域回放该区域船舶</w:t>
            </w:r>
          </w:p>
          <w:p>
            <w:pPr>
              <w:spacing w:line="300" w:lineRule="exact"/>
              <w:jc w:val="lef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8</w:t>
            </w: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单船轨迹回放</w:t>
            </w:r>
          </w:p>
        </w:tc>
        <w:tc>
          <w:tcPr>
            <w:tcW w:w="5519" w:type="dxa"/>
            <w:vAlign w:val="center"/>
          </w:tcPr>
          <w:p>
            <w:pPr>
              <w:spacing w:line="300" w:lineRule="exact"/>
              <w:rPr>
                <w:rFonts w:ascii="Times New Roman" w:hAnsi="Times New Roman" w:cs="Times New Roman"/>
                <w:color w:val="auto"/>
                <w:szCs w:val="21"/>
              </w:rPr>
            </w:pPr>
          </w:p>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可以指定任意船舶回放轨迹并同时回放附近伴航船舶</w:t>
            </w:r>
          </w:p>
          <w:p>
            <w:pPr>
              <w:spacing w:line="300" w:lineRule="exact"/>
              <w:jc w:val="lef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9</w:t>
            </w:r>
          </w:p>
        </w:tc>
        <w:tc>
          <w:tcPr>
            <w:tcW w:w="855" w:type="dxa"/>
            <w:vMerge w:val="restart"/>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辅助</w:t>
            </w:r>
          </w:p>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工具</w:t>
            </w: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区分船舶国籍</w:t>
            </w:r>
          </w:p>
        </w:tc>
        <w:tc>
          <w:tcPr>
            <w:tcW w:w="5519" w:type="dxa"/>
            <w:vAlign w:val="center"/>
          </w:tcPr>
          <w:p>
            <w:pPr>
              <w:spacing w:line="300" w:lineRule="exact"/>
              <w:rPr>
                <w:color w:val="auto"/>
              </w:rPr>
            </w:pPr>
            <w:r>
              <w:rPr>
                <w:rFonts w:hint="eastAsia"/>
                <w:color w:val="auto"/>
              </w:rPr>
              <w:t>通过船队功能区分船舶国籍：</w:t>
            </w:r>
          </w:p>
          <w:p>
            <w:pPr>
              <w:spacing w:line="300" w:lineRule="exact"/>
              <w:rPr>
                <w:color w:val="auto"/>
              </w:rPr>
            </w:pPr>
            <w:r>
              <w:rPr>
                <w:rFonts w:hint="eastAsia"/>
                <w:color w:val="auto"/>
              </w:rPr>
              <w:t>某色：国内船舶</w:t>
            </w:r>
          </w:p>
          <w:p>
            <w:pPr>
              <w:pStyle w:val="13"/>
              <w:rPr>
                <w:color w:val="auto"/>
                <w:sz w:val="21"/>
                <w:szCs w:val="21"/>
              </w:rPr>
            </w:pPr>
            <w:r>
              <w:rPr>
                <w:rFonts w:hint="eastAsia"/>
                <w:color w:val="auto"/>
                <w:sz w:val="21"/>
                <w:szCs w:val="21"/>
              </w:rPr>
              <w:t>某色：港、澳、台</w:t>
            </w:r>
          </w:p>
          <w:p>
            <w:pPr>
              <w:pStyle w:val="13"/>
              <w:rPr>
                <w:color w:val="auto"/>
                <w:sz w:val="21"/>
                <w:szCs w:val="21"/>
              </w:rPr>
            </w:pPr>
            <w:r>
              <w:rPr>
                <w:rFonts w:hint="eastAsia"/>
                <w:color w:val="auto"/>
                <w:sz w:val="21"/>
                <w:szCs w:val="21"/>
              </w:rPr>
              <w:t>某色：外籍船舶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10</w:t>
            </w: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测量工具</w:t>
            </w: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系统提供距离测量、区域标记、点标记、线标记等地图工具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11</w:t>
            </w:r>
          </w:p>
        </w:tc>
        <w:tc>
          <w:tcPr>
            <w:tcW w:w="855" w:type="dxa"/>
            <w:vMerge w:val="restart"/>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培训及售后</w:t>
            </w:r>
          </w:p>
          <w:p>
            <w:pPr>
              <w:spacing w:line="300" w:lineRule="exact"/>
              <w:rPr>
                <w:rFonts w:ascii="Times New Roman" w:hAnsi="Times New Roman" w:cs="Times New Roman"/>
                <w:color w:val="auto"/>
                <w:szCs w:val="21"/>
              </w:rPr>
            </w:pP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培训</w:t>
            </w: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服务期内，根据客户需求，可通过线上、线下等方式，不限次数、不限人数提供关于服务功能与查询操作方面的免费培训</w:t>
            </w:r>
            <w:r>
              <w:rPr>
                <w:rFonts w:hint="eastAsia"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0" w:type="dxa"/>
            <w:vMerge w:val="restart"/>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12</w:t>
            </w: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Merge w:val="restart"/>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业务专属客服</w:t>
            </w:r>
          </w:p>
        </w:tc>
        <w:tc>
          <w:tcPr>
            <w:tcW w:w="5519" w:type="dxa"/>
            <w:vAlign w:val="center"/>
          </w:tcPr>
          <w:p>
            <w:pPr>
              <w:spacing w:line="300" w:lineRule="exact"/>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）根据客户需要，每个口岸可对应专属微信客服群，随时高效解决工作中碰到的诸多繁杂或紧急的问题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vMerge w:val="continue"/>
            <w:vAlign w:val="center"/>
          </w:tcPr>
          <w:p>
            <w:pPr>
              <w:spacing w:line="300" w:lineRule="exact"/>
              <w:jc w:val="center"/>
              <w:rPr>
                <w:rFonts w:ascii="Times New Roman" w:hAnsi="Times New Roman" w:cs="Times New Roman"/>
                <w:color w:val="auto"/>
                <w:szCs w:val="21"/>
              </w:rPr>
            </w:pP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Merge w:val="continue"/>
            <w:vAlign w:val="center"/>
          </w:tcPr>
          <w:p>
            <w:pPr>
              <w:spacing w:line="300" w:lineRule="exact"/>
              <w:rPr>
                <w:rFonts w:ascii="Times New Roman" w:hAnsi="Times New Roman" w:cs="Times New Roman"/>
                <w:color w:val="auto"/>
                <w:szCs w:val="21"/>
              </w:rPr>
            </w:pPr>
          </w:p>
        </w:tc>
        <w:tc>
          <w:tcPr>
            <w:tcW w:w="5519" w:type="dxa"/>
            <w:vAlign w:val="center"/>
          </w:tcPr>
          <w:p>
            <w:pPr>
              <w:spacing w:line="300" w:lineRule="exact"/>
              <w:rPr>
                <w:rFonts w:ascii="Times New Roman" w:hAnsi="Times New Roman" w:cs="Times New Roman"/>
                <w:color w:val="auto"/>
                <w:szCs w:val="21"/>
              </w:rPr>
            </w:pPr>
            <w:r>
              <w:rPr>
                <w:rFonts w:ascii="Times New Roman" w:hAnsi="Times New Roman" w:cs="Times New Roman"/>
                <w:color w:val="auto"/>
                <w:szCs w:val="21"/>
              </w:rPr>
              <w:t>2</w:t>
            </w:r>
            <w:r>
              <w:rPr>
                <w:rFonts w:hint="eastAsia" w:ascii="Times New Roman" w:hAnsi="Times New Roman" w:cs="Times New Roman"/>
                <w:color w:val="auto"/>
                <w:szCs w:val="21"/>
              </w:rPr>
              <w:t>）中文、专业且秒级回应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0" w:type="dxa"/>
            <w:vMerge w:val="continue"/>
            <w:vAlign w:val="center"/>
          </w:tcPr>
          <w:p>
            <w:pPr>
              <w:spacing w:line="300" w:lineRule="exact"/>
              <w:jc w:val="center"/>
              <w:rPr>
                <w:rFonts w:ascii="Times New Roman" w:hAnsi="Times New Roman" w:cs="Times New Roman"/>
                <w:color w:val="auto"/>
                <w:szCs w:val="21"/>
              </w:rPr>
            </w:pPr>
          </w:p>
        </w:tc>
        <w:tc>
          <w:tcPr>
            <w:tcW w:w="855" w:type="dxa"/>
            <w:vMerge w:val="continue"/>
            <w:vAlign w:val="center"/>
          </w:tcPr>
          <w:p>
            <w:pPr>
              <w:spacing w:line="300" w:lineRule="exact"/>
              <w:rPr>
                <w:rFonts w:ascii="Times New Roman" w:hAnsi="Times New Roman" w:cs="Times New Roman"/>
                <w:color w:val="auto"/>
                <w:szCs w:val="21"/>
              </w:rPr>
            </w:pPr>
          </w:p>
        </w:tc>
        <w:tc>
          <w:tcPr>
            <w:tcW w:w="1559" w:type="dxa"/>
            <w:vMerge w:val="continue"/>
            <w:vAlign w:val="center"/>
          </w:tcPr>
          <w:p>
            <w:pPr>
              <w:spacing w:line="300" w:lineRule="exact"/>
              <w:rPr>
                <w:rFonts w:ascii="Times New Roman" w:hAnsi="Times New Roman" w:cs="Times New Roman"/>
                <w:color w:val="auto"/>
                <w:szCs w:val="21"/>
              </w:rPr>
            </w:pPr>
          </w:p>
        </w:tc>
        <w:tc>
          <w:tcPr>
            <w:tcW w:w="5519" w:type="dxa"/>
            <w:vAlign w:val="center"/>
          </w:tcPr>
          <w:p>
            <w:pPr>
              <w:spacing w:line="300" w:lineRule="exact"/>
              <w:rPr>
                <w:rFonts w:ascii="Times New Roman" w:hAnsi="Times New Roman" w:cs="Times New Roman"/>
                <w:color w:val="auto"/>
                <w:szCs w:val="21"/>
              </w:rPr>
            </w:pPr>
            <w:r>
              <w:rPr>
                <w:rFonts w:ascii="Times New Roman" w:hAnsi="Times New Roman" w:cs="Times New Roman"/>
                <w:color w:val="auto"/>
                <w:szCs w:val="21"/>
              </w:rPr>
              <w:t>3</w:t>
            </w:r>
            <w:r>
              <w:rPr>
                <w:rFonts w:hint="eastAsia" w:ascii="Times New Roman" w:hAnsi="Times New Roman" w:cs="Times New Roman"/>
                <w:color w:val="auto"/>
                <w:szCs w:val="21"/>
              </w:rPr>
              <w:t>）</w:t>
            </w:r>
            <w:r>
              <w:rPr>
                <w:rFonts w:ascii="Times New Roman" w:hAnsi="Times New Roman" w:cs="Times New Roman"/>
                <w:color w:val="auto"/>
                <w:szCs w:val="21"/>
              </w:rPr>
              <w:t>7*24</w:t>
            </w:r>
            <w:r>
              <w:rPr>
                <w:rFonts w:hint="eastAsia" w:ascii="Times New Roman" w:hAnsi="Times New Roman" w:cs="Times New Roman"/>
                <w:color w:val="auto"/>
                <w:szCs w:val="21"/>
              </w:rPr>
              <w:t>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13</w:t>
            </w:r>
          </w:p>
        </w:tc>
        <w:tc>
          <w:tcPr>
            <w:tcW w:w="855"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服务</w:t>
            </w:r>
          </w:p>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权限</w:t>
            </w:r>
          </w:p>
        </w:tc>
        <w:tc>
          <w:tcPr>
            <w:tcW w:w="1559"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在线人数及</w:t>
            </w:r>
            <w:r>
              <w:rPr>
                <w:rFonts w:ascii="Times New Roman" w:hAnsi="Times New Roman" w:cs="Times New Roman"/>
                <w:color w:val="auto"/>
                <w:szCs w:val="21"/>
              </w:rPr>
              <w:t>IP</w:t>
            </w: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单个账号单点独立登录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0" w:type="dxa"/>
            <w:vAlign w:val="center"/>
          </w:tcPr>
          <w:p>
            <w:pPr>
              <w:spacing w:line="300" w:lineRule="exact"/>
              <w:jc w:val="center"/>
              <w:rPr>
                <w:rFonts w:ascii="Times New Roman" w:hAnsi="Times New Roman" w:cs="Times New Roman"/>
                <w:color w:val="auto"/>
                <w:szCs w:val="21"/>
              </w:rPr>
            </w:pPr>
            <w:r>
              <w:rPr>
                <w:rFonts w:ascii="Times New Roman" w:hAnsi="Times New Roman" w:cs="Times New Roman"/>
                <w:color w:val="auto"/>
                <w:szCs w:val="21"/>
              </w:rPr>
              <w:t>14</w:t>
            </w:r>
          </w:p>
        </w:tc>
        <w:tc>
          <w:tcPr>
            <w:tcW w:w="855" w:type="dxa"/>
            <w:vAlign w:val="center"/>
          </w:tcPr>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系统维护及</w:t>
            </w:r>
          </w:p>
          <w:p>
            <w:pPr>
              <w:spacing w:line="300" w:lineRule="exact"/>
              <w:jc w:val="center"/>
              <w:rPr>
                <w:rFonts w:ascii="Times New Roman" w:hAnsi="Times New Roman" w:cs="Times New Roman"/>
                <w:color w:val="auto"/>
                <w:szCs w:val="21"/>
              </w:rPr>
            </w:pPr>
            <w:r>
              <w:rPr>
                <w:rFonts w:hint="eastAsia" w:ascii="Times New Roman" w:hAnsi="Times New Roman" w:cs="Times New Roman"/>
                <w:color w:val="auto"/>
                <w:szCs w:val="21"/>
              </w:rPr>
              <w:t>升级</w:t>
            </w:r>
          </w:p>
        </w:tc>
        <w:tc>
          <w:tcPr>
            <w:tcW w:w="1559" w:type="dxa"/>
            <w:vAlign w:val="center"/>
          </w:tcPr>
          <w:p>
            <w:pPr>
              <w:spacing w:line="300" w:lineRule="exact"/>
              <w:jc w:val="center"/>
              <w:rPr>
                <w:rFonts w:ascii="Times New Roman" w:hAnsi="Times New Roman" w:cs="Times New Roman"/>
                <w:color w:val="auto"/>
                <w:szCs w:val="21"/>
              </w:rPr>
            </w:pPr>
          </w:p>
        </w:tc>
        <w:tc>
          <w:tcPr>
            <w:tcW w:w="5519" w:type="dxa"/>
            <w:vAlign w:val="center"/>
          </w:tcPr>
          <w:p>
            <w:pPr>
              <w:spacing w:line="300" w:lineRule="exact"/>
              <w:rPr>
                <w:rFonts w:ascii="Times New Roman" w:hAnsi="Times New Roman" w:cs="Times New Roman"/>
                <w:color w:val="auto"/>
                <w:szCs w:val="21"/>
              </w:rPr>
            </w:pPr>
            <w:r>
              <w:rPr>
                <w:rFonts w:hint="eastAsia" w:ascii="Times New Roman" w:hAnsi="Times New Roman" w:cs="Times New Roman"/>
                <w:color w:val="auto"/>
                <w:szCs w:val="21"/>
              </w:rPr>
              <w:t>需免费提供系统升级维护服务，由于系统升级维护造成账号功能不能正常使用的，需提前一天告知需方。</w:t>
            </w:r>
          </w:p>
          <w:p>
            <w:pPr>
              <w:pStyle w:val="10"/>
              <w:ind w:left="0" w:leftChars="0" w:firstLine="0" w:firstLineChars="0"/>
              <w:rPr>
                <w:color w:val="auto"/>
                <w:sz w:val="21"/>
                <w:szCs w:val="21"/>
              </w:rPr>
            </w:pPr>
            <w:r>
              <w:rPr>
                <w:rFonts w:hint="eastAsia"/>
                <w:color w:val="auto"/>
                <w:kern w:val="0"/>
                <w:sz w:val="21"/>
                <w:szCs w:val="21"/>
              </w:rPr>
              <w:t>如因服务供应商原因造成系统功能异常，需在</w:t>
            </w:r>
            <w:r>
              <w:rPr>
                <w:color w:val="auto"/>
                <w:kern w:val="0"/>
                <w:sz w:val="21"/>
                <w:szCs w:val="21"/>
              </w:rPr>
              <w:t>24</w:t>
            </w:r>
            <w:r>
              <w:rPr>
                <w:rFonts w:hint="eastAsia"/>
                <w:color w:val="auto"/>
                <w:kern w:val="0"/>
                <w:sz w:val="21"/>
                <w:szCs w:val="21"/>
              </w:rPr>
              <w:t>小时内解决。</w:t>
            </w:r>
          </w:p>
        </w:tc>
      </w:tr>
    </w:tbl>
    <w:p/>
    <w:p>
      <w:pPr>
        <w:widowControl/>
        <w:numPr>
          <w:ilvl w:val="0"/>
          <w:numId w:val="1"/>
        </w:numPr>
        <w:shd w:val="clear" w:color="auto" w:fill="FFFFFF"/>
        <w:spacing w:line="252" w:lineRule="atLeast"/>
        <w:ind w:firstLine="480"/>
        <w:rPr>
          <w:rFonts w:ascii="楷体" w:hAnsi="楷体" w:eastAsia="楷体" w:cs="楷体"/>
          <w:b/>
          <w:bCs/>
          <w:sz w:val="32"/>
          <w:szCs w:val="32"/>
        </w:rPr>
      </w:pPr>
      <w:r>
        <w:rPr>
          <w:rFonts w:hint="eastAsia" w:ascii="楷体" w:hAnsi="楷体" w:eastAsia="楷体" w:cs="楷体"/>
          <w:b/>
          <w:bCs/>
          <w:sz w:val="32"/>
          <w:szCs w:val="32"/>
        </w:rPr>
        <w:t>验收标准及方式</w:t>
      </w:r>
    </w:p>
    <w:p>
      <w:pPr>
        <w:spacing w:line="360" w:lineRule="auto"/>
        <w:ind w:firstLine="560" w:firstLineChars="200"/>
      </w:pPr>
      <w:r>
        <w:rPr>
          <w:rFonts w:hint="eastAsia" w:ascii="仿宋_GB2312" w:hAnsi="仿宋_GB2312" w:eastAsia="仿宋_GB2312" w:cs="仿宋_GB2312"/>
          <w:sz w:val="28"/>
          <w:szCs w:val="28"/>
        </w:rPr>
        <w:t>合同签订后，乙方于7个工作日内向采购人提供正式服务账号，采购人应对服务的成果进行详细而全面的检验，验收无误后，由采购人</w:t>
      </w:r>
      <w:r>
        <w:rPr>
          <w:rFonts w:hint="eastAsia" w:ascii="仿宋_GB2312" w:hAnsi="仿宋_GB2312" w:eastAsia="仿宋_GB2312" w:cs="仿宋_GB2312"/>
          <w:sz w:val="28"/>
          <w:szCs w:val="28"/>
          <w:lang w:eastAsia="zh-CN"/>
        </w:rPr>
        <w:t>组织验收</w:t>
      </w:r>
      <w:r>
        <w:rPr>
          <w:rFonts w:hint="eastAsia" w:ascii="仿宋_GB2312" w:hAnsi="仿宋_GB2312" w:eastAsia="仿宋_GB2312" w:cs="仿宋_GB2312"/>
          <w:sz w:val="28"/>
          <w:szCs w:val="28"/>
        </w:rPr>
        <w:t>。</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(四)协助系统运维要求。</w:t>
      </w:r>
      <w:r>
        <w:rPr>
          <w:rFonts w:hint="eastAsia" w:ascii="仿宋_GB2312" w:hAnsi="仿宋_GB2312" w:eastAsia="仿宋_GB2312" w:cs="仿宋_GB2312"/>
          <w:sz w:val="28"/>
          <w:szCs w:val="28"/>
        </w:rPr>
        <w:t>时间不少于</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p>
    <w:p>
      <w:pPr>
        <w:spacing w:line="560" w:lineRule="exact"/>
        <w:ind w:firstLine="643" w:firstLineChars="200"/>
        <w:rPr>
          <w:rFonts w:ascii="仿宋_GB2312" w:hAnsi="仿宋_GB2312" w:eastAsia="仿宋_GB2312" w:cs="仿宋_GB2312"/>
          <w:sz w:val="28"/>
          <w:szCs w:val="28"/>
        </w:rPr>
      </w:pPr>
      <w:r>
        <w:rPr>
          <w:rFonts w:hint="eastAsia" w:ascii="楷体" w:hAnsi="楷体" w:eastAsia="楷体" w:cs="楷体"/>
          <w:b/>
          <w:bCs/>
          <w:sz w:val="32"/>
          <w:szCs w:val="32"/>
        </w:rPr>
        <w:t>(五)本项目招标最高限价。</w:t>
      </w:r>
      <w:r>
        <w:rPr>
          <w:rFonts w:hint="eastAsia" w:ascii="仿宋_GB2312" w:hAnsi="仿宋_GB2312" w:eastAsia="仿宋_GB2312" w:cs="仿宋_GB2312"/>
          <w:sz w:val="28"/>
          <w:szCs w:val="28"/>
        </w:rPr>
        <w:t>人民币10万元以下（含税）,此项目报价为含税。</w:t>
      </w:r>
    </w:p>
    <w:p>
      <w:pPr>
        <w:spacing w:line="560" w:lineRule="exact"/>
        <w:ind w:firstLine="643" w:firstLineChars="200"/>
        <w:rPr>
          <w:rFonts w:ascii="仿宋_GB2312" w:hAnsi="仿宋_GB2312" w:eastAsia="仿宋_GB2312" w:cs="仿宋_GB2312"/>
          <w:sz w:val="28"/>
          <w:szCs w:val="32"/>
        </w:rPr>
      </w:pPr>
      <w:r>
        <w:rPr>
          <w:rFonts w:hint="eastAsia" w:ascii="楷体" w:hAnsi="楷体" w:eastAsia="楷体" w:cs="楷体"/>
          <w:b/>
          <w:bCs/>
          <w:sz w:val="32"/>
          <w:szCs w:val="32"/>
        </w:rPr>
        <w:t>(五)交付时间</w:t>
      </w:r>
      <w:r>
        <w:rPr>
          <w:rFonts w:hint="eastAsia" w:ascii="仿宋" w:hAnsi="仿宋" w:eastAsia="仿宋" w:cs="仿宋"/>
          <w:sz w:val="32"/>
          <w:szCs w:val="32"/>
        </w:rPr>
        <w:t>。</w:t>
      </w:r>
      <w:r>
        <w:rPr>
          <w:rFonts w:hint="eastAsia" w:ascii="仿宋_GB2312" w:hAnsi="仿宋_GB2312" w:eastAsia="仿宋_GB2312" w:cs="仿宋_GB2312"/>
          <w:sz w:val="28"/>
          <w:szCs w:val="32"/>
        </w:rPr>
        <w:t>合同签订后7个工作日内交付服务账号。</w:t>
      </w:r>
    </w:p>
    <w:p>
      <w:pPr>
        <w:spacing w:line="560" w:lineRule="exact"/>
        <w:ind w:firstLine="643" w:firstLineChars="200"/>
        <w:rPr>
          <w:rFonts w:ascii="仿宋_GB2312" w:hAnsi="仿宋_GB2312" w:eastAsia="仿宋_GB2312" w:cs="仿宋_GB2312"/>
          <w:sz w:val="28"/>
          <w:szCs w:val="32"/>
        </w:rPr>
      </w:pPr>
      <w:r>
        <w:rPr>
          <w:rFonts w:hint="eastAsia" w:ascii="楷体" w:hAnsi="楷体" w:eastAsia="楷体" w:cs="楷体"/>
          <w:b/>
          <w:bCs/>
          <w:sz w:val="32"/>
          <w:szCs w:val="32"/>
        </w:rPr>
        <w:t>(六)结算方式</w:t>
      </w:r>
      <w:r>
        <w:rPr>
          <w:rFonts w:hint="eastAsia" w:ascii="仿宋" w:hAnsi="仿宋" w:eastAsia="仿宋" w:cs="仿宋"/>
          <w:sz w:val="32"/>
          <w:szCs w:val="32"/>
        </w:rPr>
        <w:t>。</w:t>
      </w:r>
      <w:r>
        <w:rPr>
          <w:rFonts w:hint="eastAsia" w:ascii="仿宋_GB2312" w:hAnsi="仿宋_GB2312" w:eastAsia="仿宋_GB2312" w:cs="仿宋_GB2312"/>
          <w:sz w:val="28"/>
          <w:szCs w:val="32"/>
          <w:lang w:eastAsia="zh-CN"/>
        </w:rPr>
        <w:t>账号开通并</w:t>
      </w:r>
      <w:r>
        <w:rPr>
          <w:rFonts w:hint="eastAsia" w:ascii="仿宋_GB2312" w:hAnsi="仿宋_GB2312" w:eastAsia="仿宋_GB2312" w:cs="仿宋_GB2312"/>
          <w:sz w:val="28"/>
          <w:szCs w:val="32"/>
        </w:rPr>
        <w:t>验收合格后</w:t>
      </w:r>
      <w:r>
        <w:rPr>
          <w:rFonts w:hint="eastAsia" w:ascii="仿宋_GB2312" w:hAnsi="仿宋_GB2312" w:eastAsia="仿宋_GB2312" w:cs="仿宋_GB2312"/>
          <w:sz w:val="28"/>
          <w:szCs w:val="32"/>
          <w:lang w:val="en-US" w:eastAsia="zh-CN"/>
        </w:rPr>
        <w:t>30</w:t>
      </w:r>
      <w:r>
        <w:rPr>
          <w:rFonts w:hint="eastAsia" w:ascii="仿宋_GB2312" w:hAnsi="仿宋_GB2312" w:eastAsia="仿宋_GB2312" w:cs="仿宋_GB2312"/>
          <w:sz w:val="28"/>
          <w:szCs w:val="32"/>
        </w:rPr>
        <w:t>个工作日内支付货款的100%；运行维保期</w:t>
      </w:r>
      <w:r>
        <w:rPr>
          <w:rFonts w:hint="eastAsia" w:ascii="仿宋_GB2312" w:hAnsi="仿宋_GB2312" w:eastAsia="仿宋_GB2312" w:cs="仿宋_GB2312"/>
          <w:sz w:val="28"/>
          <w:szCs w:val="32"/>
          <w:lang w:val="en-US" w:eastAsia="zh-CN"/>
        </w:rPr>
        <w:t>2</w:t>
      </w:r>
      <w:r>
        <w:rPr>
          <w:rFonts w:hint="eastAsia" w:ascii="仿宋_GB2312" w:hAnsi="仿宋_GB2312" w:eastAsia="仿宋_GB2312" w:cs="仿宋_GB2312"/>
          <w:sz w:val="28"/>
          <w:szCs w:val="32"/>
        </w:rPr>
        <w:t>年。</w:t>
      </w:r>
    </w:p>
    <w:p>
      <w:pPr>
        <w:spacing w:line="560" w:lineRule="exact"/>
        <w:ind w:firstLine="643" w:firstLineChars="200"/>
        <w:rPr>
          <w:rFonts w:ascii="仿宋" w:hAnsi="仿宋" w:eastAsia="仿宋" w:cs="仿宋"/>
          <w:sz w:val="28"/>
          <w:szCs w:val="32"/>
        </w:rPr>
      </w:pPr>
      <w:r>
        <w:rPr>
          <w:rFonts w:hint="eastAsia" w:ascii="楷体" w:hAnsi="楷体" w:eastAsia="楷体" w:cs="楷体"/>
          <w:b/>
          <w:bCs/>
          <w:sz w:val="32"/>
          <w:szCs w:val="32"/>
        </w:rPr>
        <w:t>(七)项目培训要求</w:t>
      </w:r>
      <w:r>
        <w:rPr>
          <w:rFonts w:hint="eastAsia" w:ascii="仿宋" w:hAnsi="仿宋" w:eastAsia="仿宋" w:cs="仿宋"/>
          <w:sz w:val="32"/>
          <w:szCs w:val="32"/>
        </w:rPr>
        <w:t>。</w:t>
      </w:r>
      <w:r>
        <w:rPr>
          <w:rFonts w:hint="eastAsia" w:ascii="仿宋_GB2312" w:hAnsi="仿宋_GB2312" w:eastAsia="仿宋_GB2312" w:cs="仿宋_GB2312"/>
          <w:sz w:val="28"/>
          <w:szCs w:val="32"/>
          <w:lang w:eastAsia="zh-CN"/>
        </w:rPr>
        <w:t>账号开通后</w:t>
      </w:r>
      <w:r>
        <w:rPr>
          <w:rFonts w:hint="eastAsia" w:ascii="仿宋_GB2312" w:hAnsi="仿宋_GB2312" w:eastAsia="仿宋_GB2312" w:cs="仿宋_GB2312"/>
          <w:sz w:val="28"/>
          <w:szCs w:val="32"/>
        </w:rPr>
        <w:t>，成交人需为采购人免费提供软件使用培训，参与培训的人员由采购人指定。成交人派出的培训教员应具有相关教学经验；所有的培训教员必须用中文授课,除非有其它的协议规定；成交人必须为所有被培训人员提供必要的相关用品（含操作手册），所有的资料必须是中文书写。</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(八)质量保证期和售后服务要求。</w:t>
      </w:r>
    </w:p>
    <w:p>
      <w:pPr>
        <w:spacing w:line="560" w:lineRule="exact"/>
        <w:ind w:firstLine="640" w:firstLineChars="200"/>
        <w:rPr>
          <w:rFonts w:ascii="仿宋_GB2312" w:hAnsi="仿宋_GB2312" w:eastAsia="仿宋_GB2312" w:cs="仿宋_GB2312"/>
          <w:sz w:val="28"/>
          <w:szCs w:val="32"/>
        </w:rPr>
      </w:pPr>
      <w:r>
        <w:rPr>
          <w:rFonts w:hint="eastAsia" w:ascii="仿宋_GB2312" w:hAnsi="仿宋_GB2312" w:eastAsia="仿宋_GB2312" w:cs="仿宋_GB2312"/>
          <w:sz w:val="32"/>
          <w:szCs w:val="32"/>
        </w:rPr>
        <w:t>1.运</w:t>
      </w:r>
      <w:r>
        <w:rPr>
          <w:rFonts w:hint="eastAsia" w:ascii="仿宋_GB2312" w:hAnsi="仿宋_GB2312" w:eastAsia="仿宋_GB2312" w:cs="仿宋_GB2312"/>
          <w:sz w:val="28"/>
          <w:szCs w:val="32"/>
        </w:rPr>
        <w:t>行维保期：自本项目验收合格日起</w:t>
      </w:r>
      <w:r>
        <w:rPr>
          <w:rFonts w:hint="eastAsia" w:ascii="仿宋_GB2312" w:hAnsi="仿宋_GB2312" w:eastAsia="仿宋_GB2312" w:cs="仿宋_GB2312"/>
          <w:sz w:val="28"/>
          <w:szCs w:val="32"/>
          <w:lang w:val="en-US" w:eastAsia="zh-CN"/>
        </w:rPr>
        <w:t>2</w:t>
      </w:r>
      <w:r>
        <w:rPr>
          <w:rFonts w:hint="eastAsia" w:ascii="仿宋_GB2312" w:hAnsi="仿宋_GB2312" w:eastAsia="仿宋_GB2312" w:cs="仿宋_GB2312"/>
          <w:sz w:val="28"/>
          <w:szCs w:val="32"/>
        </w:rPr>
        <w:t>年。</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2.维修服务的响应时间：成交人应配有较强的专业技术队伍，能够确保售后现场服务。若系统发生故障，成交人应在1小时内维修响应，48小时内到达现场维修。</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3.质量保修期后的服务要求：质保期结束后，成交人仍应提供与保修期内相同质量的售后服务，其质保和维修的相关费用由采购人自行承担。</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4.报价人可视自身能力在响应文件中提供更优、更合理的维修服务承诺。</w:t>
      </w:r>
    </w:p>
    <w:p>
      <w:pPr>
        <w:spacing w:line="560" w:lineRule="exact"/>
        <w:ind w:firstLine="560" w:firstLineChars="200"/>
      </w:pPr>
      <w:r>
        <w:rPr>
          <w:rFonts w:hint="eastAsia" w:ascii="仿宋_GB2312" w:hAnsi="仿宋_GB2312" w:eastAsia="仿宋_GB2312" w:cs="仿宋_GB2312"/>
          <w:sz w:val="28"/>
          <w:szCs w:val="32"/>
        </w:rPr>
        <w:t>5.在质保期内，成交人应免费负责提供应用软件升级服务，并向采购人提供相应的新版本软件功能说明书及修改说明书等相关技术文档。</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sz w:val="24"/>
                              <w:szCs w:val="40"/>
                            </w:rPr>
                            <w:t>- 6 -</w:t>
                          </w:r>
                          <w:r>
                            <w:rPr>
                              <w:rFonts w:hint="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sz w:val="24"/>
                        <w:szCs w:val="40"/>
                      </w:rPr>
                      <w:t>- 6 -</w:t>
                    </w:r>
                    <w:r>
                      <w:rPr>
                        <w:rFonts w:hint="eastAsia"/>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BB680"/>
    <w:multiLevelType w:val="singleLevel"/>
    <w:tmpl w:val="77CBB680"/>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NDMzOWMwYjVhOGU2ODVkMDA4Zjg3NGFjOWI0YjcifQ=="/>
  </w:docVars>
  <w:rsids>
    <w:rsidRoot w:val="4D8A745E"/>
    <w:rsid w:val="000C19FA"/>
    <w:rsid w:val="00187504"/>
    <w:rsid w:val="002F0C14"/>
    <w:rsid w:val="00496B25"/>
    <w:rsid w:val="00892200"/>
    <w:rsid w:val="00A054EA"/>
    <w:rsid w:val="00C159E2"/>
    <w:rsid w:val="00D13E17"/>
    <w:rsid w:val="046C750A"/>
    <w:rsid w:val="053404B8"/>
    <w:rsid w:val="120A05A2"/>
    <w:rsid w:val="1227427A"/>
    <w:rsid w:val="12B34964"/>
    <w:rsid w:val="2187029A"/>
    <w:rsid w:val="228705EF"/>
    <w:rsid w:val="262F365C"/>
    <w:rsid w:val="2A551AB5"/>
    <w:rsid w:val="33526546"/>
    <w:rsid w:val="3E7C253D"/>
    <w:rsid w:val="485A1120"/>
    <w:rsid w:val="486758FF"/>
    <w:rsid w:val="4D8A745E"/>
    <w:rsid w:val="63BC4A8C"/>
    <w:rsid w:val="645B4427"/>
    <w:rsid w:val="657C1A1A"/>
    <w:rsid w:val="65D877CC"/>
    <w:rsid w:val="67A12F06"/>
    <w:rsid w:val="71B837C2"/>
    <w:rsid w:val="7A7B26AD"/>
    <w:rsid w:val="7E13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3"/>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360" w:lineRule="auto"/>
      <w:ind w:firstLine="420" w:firstLineChars="200"/>
    </w:pPr>
    <w:rPr>
      <w:rFonts w:eastAsia="仿宋"/>
      <w:sz w:val="24"/>
    </w:rPr>
  </w:style>
  <w:style w:type="paragraph" w:styleId="5">
    <w:name w:val="annotation text"/>
    <w:basedOn w:val="1"/>
    <w:qFormat/>
    <w:uiPriority w:val="0"/>
    <w:pPr>
      <w:jc w:val="left"/>
    </w:pPr>
  </w:style>
  <w:style w:type="paragraph" w:styleId="6">
    <w:name w:val="Body Text Indent"/>
    <w:basedOn w:val="1"/>
    <w:next w:val="7"/>
    <w:qFormat/>
    <w:uiPriority w:val="0"/>
    <w:pPr>
      <w:spacing w:after="120"/>
      <w:ind w:left="420" w:leftChars="200"/>
    </w:pPr>
    <w:rPr>
      <w:rFonts w:ascii="Times New Roman" w:hAnsi="Times New Roman" w:cs="Times New Roman"/>
    </w:rPr>
  </w:style>
  <w:style w:type="paragraph" w:styleId="7">
    <w:name w:val="envelope return"/>
    <w:basedOn w:val="1"/>
    <w:unhideWhenUsed/>
    <w:qFormat/>
    <w:uiPriority w:val="99"/>
    <w:pPr>
      <w:snapToGrid w:val="0"/>
    </w:pPr>
    <w:rPr>
      <w:rFonts w:ascii="Arial" w:hAnsi="Arial"/>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6"/>
    <w:next w:val="1"/>
    <w:qFormat/>
    <w:uiPriority w:val="0"/>
    <w:pPr>
      <w:ind w:firstLine="420" w:firstLineChars="200"/>
    </w:pPr>
    <w:rPr>
      <w:sz w:val="24"/>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表格内文字"/>
    <w:basedOn w:val="1"/>
    <w:qFormat/>
    <w:uiPriority w:val="0"/>
    <w:rPr>
      <w:sz w:val="24"/>
      <w:szCs w:val="20"/>
    </w:rPr>
  </w:style>
  <w:style w:type="paragraph" w:customStyle="1" w:styleId="15">
    <w:name w:val="修订1"/>
    <w:hidden/>
    <w:unhideWhenUsed/>
    <w:qFormat/>
    <w:uiPriority w:val="99"/>
    <w:rPr>
      <w:rFonts w:ascii="Calibri" w:hAnsi="Calibri" w:eastAsia="宋体" w:cs="宋体"/>
      <w:kern w:val="2"/>
      <w:sz w:val="21"/>
      <w:szCs w:val="24"/>
      <w:lang w:val="en-US" w:eastAsia="zh-CN" w:bidi="ar-SA"/>
    </w:rPr>
  </w:style>
  <w:style w:type="paragraph" w:customStyle="1" w:styleId="16">
    <w:name w:val="Revision"/>
    <w:hidden/>
    <w:semiHidden/>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1521</Words>
  <Characters>1546</Characters>
  <Lines>12</Lines>
  <Paragraphs>3</Paragraphs>
  <TotalTime>20</TotalTime>
  <ScaleCrop>false</ScaleCrop>
  <LinksUpToDate>false</LinksUpToDate>
  <CharactersWithSpaces>1546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2023-05-23T02:45:00Z</dcterms:created>
  <dc:creator>fastsnails</dc:creator>
  <cp:lastModifiedBy>fastsnails</cp:lastModifiedBy>
  <cp:lastPrinted>2023-05-25T06:51:00Z</cp:lastPrinted>
  <dcterms:modified xsi:type="dcterms:W3CDTF">2023-05-25T09:17:33Z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647D6CCD1E3049FA991FDCEF6B3B3AA8_13</vt:lpwstr>
  </property>
</Properties>
</file>