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0C9C84">
      <w:pPr>
        <w:spacing w:line="360" w:lineRule="auto"/>
        <w:ind w:left="-94" w:leftChars="-45" w:right="-334" w:rightChars="-159"/>
        <w:jc w:val="left"/>
        <w:rPr>
          <w:b/>
          <w:bCs/>
          <w:sz w:val="32"/>
          <w:szCs w:val="32"/>
        </w:rPr>
      </w:pPr>
      <w:bookmarkStart w:id="0" w:name="_Hlk21261980"/>
      <w:bookmarkEnd w:id="0"/>
      <w:r>
        <w:rPr>
          <w:b/>
          <w:bCs/>
          <w:sz w:val="32"/>
          <w:szCs w:val="32"/>
        </w:rPr>
        <mc:AlternateContent>
          <mc:Choice Requires="wps">
            <w:drawing>
              <wp:anchor distT="0" distB="0" distL="114300" distR="114300" simplePos="0" relativeHeight="251662336" behindDoc="0" locked="0" layoutInCell="1" allowOverlap="1">
                <wp:simplePos x="0" y="0"/>
                <wp:positionH relativeFrom="column">
                  <wp:posOffset>-113030</wp:posOffset>
                </wp:positionH>
                <wp:positionV relativeFrom="paragraph">
                  <wp:posOffset>1882775</wp:posOffset>
                </wp:positionV>
                <wp:extent cx="6212205" cy="0"/>
                <wp:effectExtent l="0" t="19050" r="55880" b="38100"/>
                <wp:wrapNone/>
                <wp:docPr id="24" name="直线 5"/>
                <wp:cNvGraphicFramePr/>
                <a:graphic xmlns:a="http://schemas.openxmlformats.org/drawingml/2006/main">
                  <a:graphicData uri="http://schemas.microsoft.com/office/word/2010/wordprocessingShape">
                    <wps:wsp>
                      <wps:cNvCnPr>
                        <a:cxnSpLocks noChangeShapeType="1"/>
                      </wps:cNvCnPr>
                      <wps:spPr bwMode="auto">
                        <a:xfrm>
                          <a:off x="0" y="0"/>
                          <a:ext cx="6212020" cy="0"/>
                        </a:xfrm>
                        <a:prstGeom prst="line">
                          <a:avLst/>
                        </a:prstGeom>
                        <a:noFill/>
                        <a:ln w="57150" cmpd="thickThin">
                          <a:solidFill>
                            <a:srgbClr val="000000"/>
                          </a:solidFill>
                          <a:round/>
                        </a:ln>
                      </wps:spPr>
                      <wps:bodyPr/>
                    </wps:wsp>
                  </a:graphicData>
                </a:graphic>
              </wp:anchor>
            </w:drawing>
          </mc:Choice>
          <mc:Fallback>
            <w:pict>
              <v:line id="直线 5" o:spid="_x0000_s1026" o:spt="20" style="position:absolute;left:0pt;margin-left:-8.9pt;margin-top:148.25pt;height:0pt;width:489.15pt;z-index:251662336;mso-width-relative:page;mso-height-relative:page;" filled="f" stroked="t" coordsize="21600,21600" o:gfxdata="UEsDBAoAAAAAAIdO4kAAAAAAAAAAAAAAAAAEAAAAZHJzL1BLAwQUAAAACACHTuJAM2Jj/9YAAAAL&#10;AQAADwAAAGRycy9kb3ducmV2LnhtbE2PwU7DMBBE70j8g7VI3Fo7hYY0jVMhKj6AwIGjG2+TCHsd&#10;xW4b+HoWCQluu7OjmbfVbvZOnHGKQyAN2VKBQGqDHajT8Pb6vChAxGTIGhcINXxihF19fVWZ0oYL&#10;veC5SZ3gEIql0dCnNJZSxrZHb+IyjEh8O4bJm8Tr1Ek7mQuHeydXSuXSm4G4oTcjPvXYfjQnr6EJ&#10;yu3nxzvXfBX37/vQFuO0jlrf3mRqCyLhnP7M8IPP6FAz0yGcyEbhNCyyB0ZPGlabfA2CHZtc8XD4&#10;VWRdyf8/1N9QSwMEFAAAAAgAh07iQBx5xE3iAQAAtAMAAA4AAABkcnMvZTJvRG9jLnhtbK1TS27b&#10;MBDdF+gdCO5rWUKdFoLlLGykm7Q1EPcAY4qyiJAcgqQt+Sy9Rlfd9Di5Rof0p2m6yaJaECRn5s28&#10;96j57Wg0O0gfFNqGl5MpZ9IKbJXdNfzb5u7dR85CBNuCRisbfpSB3y7evpkPrpYV9qhb6RmB2FAP&#10;ruF9jK4uiiB6aSBM0ElLwQ69gUhHvytaDwOhG11U0+lNMaBvnUchQ6Db1SnIz4j+NYDYdUrIFYq9&#10;kTaeUL3UEIlS6JULfJGn7Top4teuCzIy3XBiGvNKTWi/TWuxmEO98+B6Jc4jwGtGeMHJgLLU9Aq1&#10;gghs79U/UEYJjwG7OBFoihORrAixKKcvtHnowcnMhaQO7ip6+H+w4sth7ZlqG16958yCIcefvv94&#10;+vmLzZI4gws15Szt2id6YrQP7h7FY2AWlz3YncxDbo6OCstUUfxVkg7BUYvt8BlbyoF9xKzU2HmT&#10;IEkDNmZDjldD5BiZoMubqqymFXklLrEC6kuh8yF+kmhY2jRcK5u0ghoO9yGmQaC+pKRri3dK6+y3&#10;tmxo+OxDOUvQxhH7SP4/bvqziwG1alN6Kgx+t11qzw6Q3lD+Mk+KPE/zuLftqa22ZxkS85OGW2yP&#10;a3+Rh8zM850fXnotz8+5+s/Ptvg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M2Jj/9YAAAALAQAA&#10;DwAAAAAAAAABACAAAAAiAAAAZHJzL2Rvd25yZXYueG1sUEsBAhQAFAAAAAgAh07iQBx5xE3iAQAA&#10;tAMAAA4AAAAAAAAAAQAgAAAAJQEAAGRycy9lMm9Eb2MueG1sUEsFBgAAAAAGAAYAWQEAAHkFAAAA&#10;AA==&#10;">
                <v:fill on="f" focussize="0,0"/>
                <v:stroke weight="4.5pt" color="#000000" linestyle="thickThin" joinstyle="round"/>
                <v:imagedata o:title=""/>
                <o:lock v:ext="edit" aspectratio="f"/>
              </v:line>
            </w:pict>
          </mc:Fallback>
        </mc:AlternateContent>
      </w:r>
      <w:r>
        <w:rPr>
          <w:b/>
          <w:bCs/>
          <w:sz w:val="32"/>
          <w:szCs w:val="32"/>
        </w:rPr>
        <w:drawing>
          <wp:anchor distT="0" distB="0" distL="114300" distR="114300" simplePos="0" relativeHeight="251659264" behindDoc="0" locked="0" layoutInCell="1" allowOverlap="1">
            <wp:simplePos x="0" y="0"/>
            <wp:positionH relativeFrom="column">
              <wp:posOffset>0</wp:posOffset>
            </wp:positionH>
            <wp:positionV relativeFrom="paragraph">
              <wp:posOffset>99060</wp:posOffset>
            </wp:positionV>
            <wp:extent cx="1257300" cy="1257300"/>
            <wp:effectExtent l="0" t="0" r="0" b="0"/>
            <wp:wrapTopAndBottom/>
            <wp:docPr id="2" name="图片 2" descr="徽标（白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徽标（白边）"/>
                    <pic:cNvPicPr>
                      <a:picLocks noChangeAspect="1" noChangeArrowheads="1"/>
                    </pic:cNvPicPr>
                  </pic:nvPicPr>
                  <pic:blipFill>
                    <a:blip r:embed="rId5" cstate="print"/>
                    <a:srcRect/>
                    <a:stretch>
                      <a:fillRect/>
                    </a:stretch>
                  </pic:blipFill>
                  <pic:spPr>
                    <a:xfrm>
                      <a:off x="0" y="0"/>
                      <a:ext cx="1257300" cy="1257300"/>
                    </a:xfrm>
                    <a:prstGeom prst="rect">
                      <a:avLst/>
                    </a:prstGeom>
                    <a:noFill/>
                    <a:ln w="9525">
                      <a:noFill/>
                      <a:miter lim="800000"/>
                      <a:headEnd/>
                      <a:tailEnd/>
                    </a:ln>
                  </pic:spPr>
                </pic:pic>
              </a:graphicData>
            </a:graphic>
          </wp:anchor>
        </w:drawing>
      </w:r>
      <w:r>
        <w:rPr>
          <w:b/>
          <w:bCs/>
          <w:sz w:val="32"/>
          <w:szCs w:val="32"/>
        </w:rPr>
        <w:drawing>
          <wp:anchor distT="0" distB="0" distL="114300" distR="114300" simplePos="0" relativeHeight="251660288" behindDoc="0" locked="0" layoutInCell="1" allowOverlap="1">
            <wp:simplePos x="0" y="0"/>
            <wp:positionH relativeFrom="column">
              <wp:posOffset>1714500</wp:posOffset>
            </wp:positionH>
            <wp:positionV relativeFrom="paragraph">
              <wp:posOffset>693420</wp:posOffset>
            </wp:positionV>
            <wp:extent cx="3200400" cy="805180"/>
            <wp:effectExtent l="0" t="0" r="0" b="0"/>
            <wp:wrapTopAndBottom/>
            <wp:docPr id="3" name="图片 3" descr="信息简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信息简报"/>
                    <pic:cNvPicPr>
                      <a:picLocks noChangeAspect="1" noChangeArrowheads="1"/>
                    </pic:cNvPicPr>
                  </pic:nvPicPr>
                  <pic:blipFill>
                    <a:blip r:embed="rId6" cstate="print"/>
                    <a:srcRect l="11453" t="15935" r="17537" b="12360"/>
                    <a:stretch>
                      <a:fillRect/>
                    </a:stretch>
                  </pic:blipFill>
                  <pic:spPr>
                    <a:xfrm>
                      <a:off x="0" y="0"/>
                      <a:ext cx="3200400" cy="805180"/>
                    </a:xfrm>
                    <a:prstGeom prst="rect">
                      <a:avLst/>
                    </a:prstGeom>
                    <a:noFill/>
                    <a:ln w="9525">
                      <a:noFill/>
                      <a:miter lim="800000"/>
                      <a:headEnd/>
                      <a:tailEnd/>
                    </a:ln>
                  </pic:spPr>
                </pic:pic>
              </a:graphicData>
            </a:graphic>
          </wp:anchor>
        </w:drawing>
      </w:r>
      <w:r>
        <w:rPr>
          <w:b/>
          <w:bCs/>
          <w:sz w:val="32"/>
          <w:szCs w:val="32"/>
        </w:rPr>
        <w:drawing>
          <wp:anchor distT="0" distB="0" distL="114300" distR="114300" simplePos="0" relativeHeight="251661312" behindDoc="0" locked="0" layoutInCell="1" allowOverlap="1">
            <wp:simplePos x="0" y="0"/>
            <wp:positionH relativeFrom="column">
              <wp:posOffset>914400</wp:posOffset>
            </wp:positionH>
            <wp:positionV relativeFrom="paragraph">
              <wp:posOffset>0</wp:posOffset>
            </wp:positionV>
            <wp:extent cx="5029200" cy="783590"/>
            <wp:effectExtent l="0" t="0" r="0" b="0"/>
            <wp:wrapNone/>
            <wp:docPr id="4" name="图片 4" descr="福建省水产饲料研究会 - 刘中一题—红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福建省水产饲料研究会 - 刘中一题—红色"/>
                    <pic:cNvPicPr>
                      <a:picLocks noChangeAspect="1" noChangeArrowheads="1"/>
                    </pic:cNvPicPr>
                  </pic:nvPicPr>
                  <pic:blipFill>
                    <a:blip r:embed="rId7" cstate="print"/>
                    <a:srcRect/>
                    <a:stretch>
                      <a:fillRect/>
                    </a:stretch>
                  </pic:blipFill>
                  <pic:spPr>
                    <a:xfrm>
                      <a:off x="0" y="0"/>
                      <a:ext cx="5029200" cy="783590"/>
                    </a:xfrm>
                    <a:prstGeom prst="rect">
                      <a:avLst/>
                    </a:prstGeom>
                    <a:noFill/>
                    <a:ln w="9525">
                      <a:noFill/>
                      <a:miter lim="800000"/>
                      <a:headEnd/>
                      <a:tailEnd/>
                    </a:ln>
                  </pic:spPr>
                </pic:pic>
              </a:graphicData>
            </a:graphic>
          </wp:anchor>
        </w:drawing>
      </w:r>
      <w:r>
        <w:rPr>
          <w:b/>
          <w:bCs/>
          <w:sz w:val="32"/>
          <w:szCs w:val="32"/>
        </w:rPr>
        <w:t>51350000B20881845C</w:t>
      </w:r>
      <w:r>
        <w:rPr>
          <w:rFonts w:hint="eastAsia"/>
          <w:b/>
          <w:bCs/>
          <w:sz w:val="32"/>
          <w:szCs w:val="32"/>
        </w:rPr>
        <w:t xml:space="preserve">   </w:t>
      </w:r>
      <w:r>
        <w:rPr>
          <w:b/>
          <w:bCs/>
          <w:sz w:val="32"/>
          <w:szCs w:val="32"/>
        </w:rPr>
        <w:t>第</w:t>
      </w:r>
      <w:r>
        <w:rPr>
          <w:rFonts w:hint="eastAsia"/>
          <w:b/>
          <w:bCs/>
          <w:sz w:val="32"/>
          <w:szCs w:val="32"/>
        </w:rPr>
        <w:t>1</w:t>
      </w:r>
      <w:r>
        <w:rPr>
          <w:rFonts w:hint="eastAsia"/>
          <w:b/>
          <w:bCs/>
          <w:sz w:val="32"/>
          <w:szCs w:val="32"/>
          <w:lang w:val="en-US" w:eastAsia="zh-CN"/>
        </w:rPr>
        <w:t>1</w:t>
      </w:r>
      <w:r>
        <w:rPr>
          <w:b/>
          <w:bCs/>
          <w:sz w:val="32"/>
          <w:szCs w:val="32"/>
        </w:rPr>
        <w:t>期  (总第</w:t>
      </w:r>
      <w:r>
        <w:rPr>
          <w:rFonts w:hint="eastAsia"/>
          <w:b/>
          <w:bCs/>
          <w:sz w:val="32"/>
          <w:szCs w:val="32"/>
        </w:rPr>
        <w:t>45</w:t>
      </w:r>
      <w:r>
        <w:rPr>
          <w:rFonts w:hint="eastAsia"/>
          <w:b/>
          <w:bCs/>
          <w:sz w:val="32"/>
          <w:szCs w:val="32"/>
          <w:lang w:val="en-US" w:eastAsia="zh-CN"/>
        </w:rPr>
        <w:t>6</w:t>
      </w:r>
      <w:r>
        <w:rPr>
          <w:b/>
          <w:bCs/>
          <w:sz w:val="32"/>
          <w:szCs w:val="32"/>
        </w:rPr>
        <w:t>期)</w:t>
      </w:r>
      <w:r>
        <w:rPr>
          <w:rFonts w:hint="eastAsia"/>
          <w:b/>
          <w:bCs/>
          <w:sz w:val="32"/>
          <w:szCs w:val="32"/>
        </w:rPr>
        <w:t xml:space="preserve">   </w:t>
      </w:r>
      <w:r>
        <w:rPr>
          <w:b/>
          <w:bCs/>
          <w:sz w:val="32"/>
          <w:szCs w:val="32"/>
        </w:rPr>
        <w:t>202</w:t>
      </w:r>
      <w:r>
        <w:rPr>
          <w:rFonts w:hint="eastAsia"/>
          <w:b/>
          <w:bCs/>
          <w:sz w:val="32"/>
          <w:szCs w:val="32"/>
        </w:rPr>
        <w:t>6</w:t>
      </w:r>
      <w:r>
        <w:rPr>
          <w:b/>
          <w:bCs/>
          <w:sz w:val="32"/>
          <w:szCs w:val="32"/>
        </w:rPr>
        <w:t>年</w:t>
      </w:r>
      <w:r>
        <w:rPr>
          <w:rFonts w:hint="eastAsia"/>
          <w:b/>
          <w:bCs/>
          <w:sz w:val="32"/>
          <w:szCs w:val="32"/>
          <w:lang w:val="en-US" w:eastAsia="zh-CN"/>
        </w:rPr>
        <w:t>6</w:t>
      </w:r>
      <w:r>
        <w:rPr>
          <w:b/>
          <w:bCs/>
          <w:sz w:val="32"/>
          <w:szCs w:val="32"/>
        </w:rPr>
        <w:t>月</w:t>
      </w:r>
      <w:r>
        <w:rPr>
          <w:rFonts w:hint="eastAsia"/>
          <w:b/>
          <w:bCs/>
          <w:sz w:val="32"/>
          <w:szCs w:val="32"/>
          <w:lang w:val="en-US" w:eastAsia="zh-CN"/>
        </w:rPr>
        <w:t>15</w:t>
      </w:r>
      <w:r>
        <w:rPr>
          <w:b/>
          <w:bCs/>
          <w:sz w:val="32"/>
          <w:szCs w:val="32"/>
        </w:rPr>
        <w:t>日</w:t>
      </w:r>
    </w:p>
    <w:sdt>
      <w:sdtPr>
        <w:rPr>
          <w:rFonts w:ascii="Times New Roman" w:hAnsi="Times New Roman" w:eastAsia="宋体" w:cs="Times New Roman"/>
          <w:color w:val="auto"/>
          <w:kern w:val="2"/>
          <w:sz w:val="21"/>
          <w:szCs w:val="24"/>
          <w:lang w:val="zh-CN"/>
        </w:rPr>
        <w:id w:val="336666750"/>
        <w:docPartObj>
          <w:docPartGallery w:val="Table of Contents"/>
          <w:docPartUnique/>
        </w:docPartObj>
      </w:sdtPr>
      <w:sdtEndPr>
        <w:rPr>
          <w:rFonts w:ascii="Times New Roman" w:hAnsi="Times New Roman" w:eastAsia="宋体" w:cs="Times New Roman"/>
          <w:color w:val="auto"/>
          <w:kern w:val="2"/>
          <w:sz w:val="21"/>
          <w:szCs w:val="24"/>
          <w:lang w:val="zh-CN"/>
        </w:rPr>
      </w:sdtEndPr>
      <w:sdtContent>
        <w:p w14:paraId="68DD6BFC">
          <w:pPr>
            <w:pStyle w:val="202"/>
            <w:jc w:val="center"/>
            <w:rPr>
              <w:rFonts w:hint="eastAsia" w:ascii="黑体" w:hAnsi="黑体" w:eastAsia="黑体"/>
              <w:b/>
              <w:bCs/>
              <w:color w:val="auto"/>
            </w:rPr>
          </w:pPr>
          <w:bookmarkStart w:id="1" w:name="_Hlk95645129"/>
          <w:r>
            <w:rPr>
              <w:rFonts w:ascii="黑体" w:hAnsi="黑体" w:eastAsia="黑体"/>
              <w:b/>
              <w:bCs/>
              <w:color w:val="auto"/>
              <w:lang w:val="zh-CN"/>
            </w:rPr>
            <w:t>目录</w:t>
          </w:r>
        </w:p>
        <w:p w14:paraId="3F5E1454">
          <w:pPr>
            <w:pStyle w:val="14"/>
            <w:tabs>
              <w:tab w:val="right" w:leader="dot" w:pos="9402"/>
            </w:tabs>
            <w:rPr>
              <w:rFonts w:asciiTheme="minorHAnsi" w:hAnsiTheme="minorHAnsi" w:eastAsiaTheme="minorEastAsia" w:cstheme="minorBidi"/>
              <w:sz w:val="22"/>
              <w14:ligatures w14:val="standardContextual"/>
            </w:rPr>
          </w:pPr>
          <w:r>
            <w:fldChar w:fldCharType="begin"/>
          </w:r>
          <w:r>
            <w:instrText xml:space="preserve"> TOC \o "1-3" \h \z \u </w:instrText>
          </w:r>
          <w:r>
            <w:fldChar w:fldCharType="separate"/>
          </w:r>
          <w:r>
            <w:fldChar w:fldCharType="begin"/>
          </w:r>
          <w:r>
            <w:instrText xml:space="preserve"> HYPERLINK \l "_Toc230941918" </w:instrText>
          </w:r>
          <w:r>
            <w:fldChar w:fldCharType="separate"/>
          </w:r>
          <w:r>
            <w:rPr>
              <w:rStyle w:val="24"/>
              <w:rFonts w:hint="eastAsia" w:eastAsia="黑体"/>
              <w:b/>
              <w:bCs/>
              <w:bdr w:val="single" w:color="auto" w:sz="4" w:space="0"/>
            </w:rPr>
            <w:t>重要资讯</w:t>
          </w:r>
          <w:r>
            <w:rPr>
              <w:rFonts w:hint="eastAsia"/>
            </w:rPr>
            <w:tab/>
          </w:r>
          <w:r>
            <w:rPr>
              <w:rFonts w:hint="eastAsia"/>
            </w:rPr>
            <w:fldChar w:fldCharType="begin"/>
          </w:r>
          <w:r>
            <w:rPr>
              <w:rFonts w:hint="eastAsia"/>
            </w:rPr>
            <w:instrText xml:space="preserve"> </w:instrText>
          </w:r>
          <w:r>
            <w:instrText xml:space="preserve">PAGEREF _Toc230941918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173EA034">
          <w:pPr>
            <w:pStyle w:val="15"/>
            <w:rPr>
              <w:rFonts w:asciiTheme="minorHAnsi" w:hAnsiTheme="minorHAnsi" w:eastAsiaTheme="minorEastAsia" w:cstheme="minorBidi"/>
              <w:sz w:val="22"/>
              <w14:ligatures w14:val="standardContextual"/>
            </w:rPr>
          </w:pPr>
          <w:r>
            <w:fldChar w:fldCharType="begin"/>
          </w:r>
          <w:r>
            <w:instrText xml:space="preserve"> HYPERLINK \l "_Toc230941919" </w:instrText>
          </w:r>
          <w:r>
            <w:fldChar w:fldCharType="separate"/>
          </w:r>
          <w:r>
            <w:rPr>
              <w:rFonts w:hint="eastAsia"/>
            </w:rPr>
            <w:t>农业农村部、国家发展改革委负责人就《加快农业农村现代化“十五五”规划》答记者问</w:t>
          </w:r>
          <w:r>
            <w:rPr>
              <w:rFonts w:hint="eastAsia"/>
            </w:rPr>
            <w:tab/>
          </w:r>
          <w:r>
            <w:rPr>
              <w:rFonts w:hint="eastAsia"/>
            </w:rPr>
            <w:fldChar w:fldCharType="begin"/>
          </w:r>
          <w:r>
            <w:rPr>
              <w:rFonts w:hint="eastAsia"/>
            </w:rPr>
            <w:instrText xml:space="preserve"> </w:instrText>
          </w:r>
          <w:r>
            <w:instrText xml:space="preserve">PAGEREF _Toc230941919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58949B85">
          <w:pPr>
            <w:pStyle w:val="15"/>
            <w:rPr>
              <w:rFonts w:asciiTheme="minorHAnsi" w:hAnsiTheme="minorHAnsi" w:eastAsiaTheme="minorEastAsia" w:cstheme="minorBidi"/>
              <w:sz w:val="22"/>
              <w14:ligatures w14:val="standardContextual"/>
            </w:rPr>
          </w:pPr>
          <w:r>
            <w:fldChar w:fldCharType="begin"/>
          </w:r>
          <w:r>
            <w:instrText xml:space="preserve"> HYPERLINK \l "_Toc230941920" </w:instrText>
          </w:r>
          <w:r>
            <w:fldChar w:fldCharType="separate"/>
          </w:r>
          <w:r>
            <w:rPr>
              <w:rFonts w:hint="eastAsia"/>
            </w:rPr>
            <w:t>农业农村部发布公告修订《饲料原料目录》</w:t>
          </w:r>
          <w:r>
            <w:rPr>
              <w:rFonts w:hint="eastAsia"/>
            </w:rPr>
            <w:tab/>
          </w:r>
          <w:r>
            <w:rPr>
              <w:rFonts w:hint="eastAsia"/>
              <w:lang w:val="en-US" w:eastAsia="zh-CN"/>
            </w:rPr>
            <w:t>5</w:t>
          </w:r>
          <w:r>
            <w:rPr>
              <w:rFonts w:hint="eastAsia"/>
            </w:rPr>
            <w:fldChar w:fldCharType="end"/>
          </w:r>
        </w:p>
        <w:p w14:paraId="581F12BC">
          <w:pPr>
            <w:pStyle w:val="15"/>
            <w:rPr>
              <w:rFonts w:asciiTheme="minorHAnsi" w:hAnsiTheme="minorHAnsi" w:eastAsiaTheme="minorEastAsia" w:cstheme="minorBidi"/>
              <w:sz w:val="22"/>
              <w14:ligatures w14:val="standardContextual"/>
            </w:rPr>
          </w:pPr>
          <w:r>
            <w:fldChar w:fldCharType="begin"/>
          </w:r>
          <w:r>
            <w:instrText xml:space="preserve"> HYPERLINK \l "_Toc230941921" </w:instrText>
          </w:r>
          <w:r>
            <w:fldChar w:fldCharType="separate"/>
          </w:r>
          <w:r>
            <w:rPr>
              <w:rFonts w:hint="eastAsia"/>
            </w:rPr>
            <w:t>2026年全国水生生物同步增殖放流各类水生生物苗种超5亿尾</w:t>
          </w:r>
          <w:r>
            <w:rPr>
              <w:rFonts w:hint="eastAsia"/>
            </w:rPr>
            <w:tab/>
          </w:r>
          <w:r>
            <w:rPr>
              <w:rFonts w:hint="eastAsia"/>
              <w:lang w:val="en-US" w:eastAsia="zh-CN"/>
            </w:rPr>
            <w:t>6</w:t>
          </w:r>
          <w:r>
            <w:rPr>
              <w:rFonts w:hint="eastAsia"/>
            </w:rPr>
            <w:fldChar w:fldCharType="end"/>
          </w:r>
        </w:p>
        <w:p w14:paraId="0C41736C">
          <w:pPr>
            <w:pStyle w:val="15"/>
            <w:rPr>
              <w:rFonts w:asciiTheme="minorHAnsi" w:hAnsiTheme="minorHAnsi" w:eastAsiaTheme="minorEastAsia" w:cstheme="minorBidi"/>
              <w:sz w:val="22"/>
              <w14:ligatures w14:val="standardContextual"/>
            </w:rPr>
          </w:pPr>
          <w:r>
            <w:fldChar w:fldCharType="begin"/>
          </w:r>
          <w:r>
            <w:instrText xml:space="preserve"> HYPERLINK \l "_Toc230941922" </w:instrText>
          </w:r>
          <w:r>
            <w:fldChar w:fldCharType="separate"/>
          </w:r>
          <w:r>
            <w:rPr>
              <w:rFonts w:hint="eastAsia"/>
            </w:rPr>
            <w:t>全国水产技术推广总站关于印发《2026年国家水生动物疫病监测计划实施方案》的通知</w:t>
          </w:r>
          <w:r>
            <w:rPr>
              <w:rFonts w:hint="eastAsia"/>
            </w:rPr>
            <w:tab/>
          </w:r>
          <w:r>
            <w:rPr>
              <w:rFonts w:hint="eastAsia"/>
            </w:rPr>
            <w:fldChar w:fldCharType="begin"/>
          </w:r>
          <w:r>
            <w:rPr>
              <w:rFonts w:hint="eastAsia"/>
            </w:rPr>
            <w:instrText xml:space="preserve"> </w:instrText>
          </w:r>
          <w:r>
            <w:instrText xml:space="preserve">PAGEREF _Toc230941922 \h</w:instrText>
          </w:r>
          <w:r>
            <w:rPr>
              <w:rFonts w:hint="eastAsia"/>
            </w:rPr>
            <w:instrText xml:space="preserve"> </w:instrText>
          </w:r>
          <w:r>
            <w:rPr>
              <w:rFonts w:hint="eastAsia"/>
            </w:rPr>
            <w:fldChar w:fldCharType="separate"/>
          </w:r>
          <w:r>
            <w:t>7</w:t>
          </w:r>
          <w:r>
            <w:rPr>
              <w:rFonts w:hint="eastAsia"/>
            </w:rPr>
            <w:fldChar w:fldCharType="end"/>
          </w:r>
          <w:r>
            <w:rPr>
              <w:rFonts w:hint="eastAsia"/>
            </w:rPr>
            <w:fldChar w:fldCharType="end"/>
          </w:r>
        </w:p>
        <w:p w14:paraId="45F5AB95">
          <w:pPr>
            <w:pStyle w:val="14"/>
            <w:tabs>
              <w:tab w:val="right" w:leader="dot" w:pos="9402"/>
            </w:tabs>
            <w:rPr>
              <w:rFonts w:asciiTheme="minorHAnsi" w:hAnsiTheme="minorHAnsi" w:eastAsiaTheme="minorEastAsia" w:cstheme="minorBidi"/>
              <w:sz w:val="22"/>
              <w14:ligatures w14:val="standardContextual"/>
            </w:rPr>
          </w:pPr>
          <w:r>
            <w:fldChar w:fldCharType="begin"/>
          </w:r>
          <w:r>
            <w:instrText xml:space="preserve"> HYPERLINK \l "_Toc230941925" </w:instrText>
          </w:r>
          <w:r>
            <w:fldChar w:fldCharType="separate"/>
          </w:r>
          <w:r>
            <w:rPr>
              <w:rStyle w:val="24"/>
              <w:rFonts w:hint="eastAsia" w:eastAsia="黑体"/>
              <w:b/>
              <w:bCs/>
              <w:bdr w:val="single" w:color="auto" w:sz="4" w:space="0"/>
            </w:rPr>
            <w:t>行业资讯</w:t>
          </w:r>
          <w:r>
            <w:rPr>
              <w:rFonts w:hint="eastAsia"/>
            </w:rPr>
            <w:tab/>
          </w:r>
          <w:r>
            <w:rPr>
              <w:rFonts w:hint="eastAsia"/>
              <w:lang w:val="en-US" w:eastAsia="zh-CN"/>
            </w:rPr>
            <w:t>7</w:t>
          </w:r>
          <w:r>
            <w:rPr>
              <w:rFonts w:hint="eastAsia"/>
            </w:rPr>
            <w:fldChar w:fldCharType="end"/>
          </w:r>
        </w:p>
        <w:p w14:paraId="7CC4598D">
          <w:pPr>
            <w:pStyle w:val="15"/>
            <w:rPr>
              <w:rFonts w:asciiTheme="minorHAnsi" w:hAnsiTheme="minorHAnsi" w:eastAsiaTheme="minorEastAsia" w:cstheme="minorBidi"/>
              <w:sz w:val="22"/>
              <w14:ligatures w14:val="standardContextual"/>
            </w:rPr>
          </w:pPr>
          <w:r>
            <w:fldChar w:fldCharType="begin"/>
          </w:r>
          <w:r>
            <w:instrText xml:space="preserve"> HYPERLINK \l "_Toc230941926" </w:instrText>
          </w:r>
          <w:r>
            <w:fldChar w:fldCharType="separate"/>
          </w:r>
          <w:r>
            <w:rPr>
              <w:rFonts w:hint="eastAsia"/>
            </w:rPr>
            <w:t>宁夏盐池：科技赋能破壁垒 人才助力盐碱地 “养出新经济”</w:t>
          </w:r>
          <w:r>
            <w:rPr>
              <w:rFonts w:hint="eastAsia"/>
            </w:rPr>
            <w:tab/>
          </w:r>
          <w:r>
            <w:rPr>
              <w:rFonts w:hint="eastAsia"/>
              <w:lang w:val="en-US" w:eastAsia="zh-CN"/>
            </w:rPr>
            <w:t>7</w:t>
          </w:r>
          <w:r>
            <w:rPr>
              <w:rFonts w:hint="eastAsia"/>
            </w:rPr>
            <w:fldChar w:fldCharType="end"/>
          </w:r>
        </w:p>
        <w:p w14:paraId="13AC820B">
          <w:pPr>
            <w:pStyle w:val="15"/>
            <w:rPr>
              <w:rFonts w:asciiTheme="minorHAnsi" w:hAnsiTheme="minorHAnsi" w:eastAsiaTheme="minorEastAsia" w:cstheme="minorBidi"/>
              <w:sz w:val="22"/>
              <w14:ligatures w14:val="standardContextual"/>
            </w:rPr>
          </w:pPr>
          <w:r>
            <w:fldChar w:fldCharType="begin"/>
          </w:r>
          <w:r>
            <w:instrText xml:space="preserve"> HYPERLINK \l "_Toc230941927" </w:instrText>
          </w:r>
          <w:r>
            <w:fldChar w:fldCharType="separate"/>
          </w:r>
          <w:r>
            <w:rPr>
              <w:lang w:val="en-US" w:eastAsia="zh-CN"/>
            </w:rPr>
            <w:t>2026渔业周·渔博会在榕开幕</w:t>
          </w:r>
          <w:r>
            <w:rPr>
              <w:rFonts w:hint="eastAsia"/>
            </w:rPr>
            <w:tab/>
          </w:r>
          <w:r>
            <w:rPr>
              <w:rFonts w:hint="eastAsia"/>
              <w:lang w:val="en-US" w:eastAsia="zh-CN"/>
            </w:rPr>
            <w:t>8</w:t>
          </w:r>
          <w:r>
            <w:rPr>
              <w:rFonts w:hint="eastAsia"/>
            </w:rPr>
            <w:fldChar w:fldCharType="end"/>
          </w:r>
        </w:p>
        <w:p w14:paraId="5C05915F">
          <w:pPr>
            <w:pStyle w:val="15"/>
            <w:rPr>
              <w:rFonts w:asciiTheme="minorHAnsi" w:hAnsiTheme="minorHAnsi" w:eastAsiaTheme="minorEastAsia" w:cstheme="minorBidi"/>
              <w:sz w:val="22"/>
              <w14:ligatures w14:val="standardContextual"/>
            </w:rPr>
          </w:pPr>
          <w:r>
            <w:fldChar w:fldCharType="begin"/>
          </w:r>
          <w:r>
            <w:instrText xml:space="preserve"> HYPERLINK \l "_Toc230941928" </w:instrText>
          </w:r>
          <w:r>
            <w:fldChar w:fldCharType="separate"/>
          </w:r>
          <w:r>
            <w:rPr>
              <w:lang w:val="en-US" w:eastAsia="zh-CN"/>
            </w:rPr>
            <w:t>第六届深远海养殖国际研讨会在福州举办</w:t>
          </w:r>
          <w:r>
            <w:rPr>
              <w:rFonts w:hint="eastAsia"/>
            </w:rPr>
            <w:tab/>
          </w:r>
          <w:r>
            <w:rPr>
              <w:rFonts w:hint="eastAsia"/>
              <w:lang w:val="en-US" w:eastAsia="zh-CN"/>
            </w:rPr>
            <w:t>9</w:t>
          </w:r>
          <w:r>
            <w:rPr>
              <w:rFonts w:hint="eastAsia"/>
            </w:rPr>
            <w:fldChar w:fldCharType="end"/>
          </w:r>
        </w:p>
        <w:p w14:paraId="30E106A5">
          <w:pPr>
            <w:pStyle w:val="15"/>
            <w:rPr>
              <w:rFonts w:hint="eastAsia" w:eastAsia="黑体" w:asciiTheme="minorHAnsi" w:hAnsiTheme="minorHAnsi" w:cstheme="minorBidi"/>
              <w:sz w:val="22"/>
              <w:lang w:val="en-US" w:eastAsia="zh-CN"/>
              <w14:ligatures w14:val="standardContextual"/>
            </w:rPr>
          </w:pPr>
          <w:r>
            <w:rPr>
              <w:rFonts w:hint="eastAsia"/>
            </w:rPr>
            <w:t>中国水产科学研究院</w:t>
          </w:r>
          <w:r>
            <w:fldChar w:fldCharType="begin"/>
          </w:r>
          <w:r>
            <w:instrText xml:space="preserve"> HYPERLINK \l "_Toc230941929" </w:instrText>
          </w:r>
          <w:r>
            <w:fldChar w:fldCharType="separate"/>
          </w:r>
          <w:r>
            <w:rPr>
              <w:rFonts w:hint="eastAsia"/>
            </w:rPr>
            <w:t>淡水渔业研究中心在鲫鱼无喉孢子虫苗种繁育研究上取得重要进展</w:t>
          </w:r>
          <w:r>
            <w:rPr>
              <w:rFonts w:hint="eastAsia"/>
            </w:rPr>
            <w:tab/>
          </w:r>
          <w:r>
            <w:rPr>
              <w:rFonts w:hint="eastAsia"/>
              <w:lang w:val="en-US" w:eastAsia="zh-CN"/>
            </w:rPr>
            <w:t>1</w:t>
          </w:r>
          <w:r>
            <w:rPr>
              <w:rFonts w:hint="eastAsia"/>
            </w:rPr>
            <w:fldChar w:fldCharType="end"/>
          </w:r>
          <w:r>
            <w:rPr>
              <w:rFonts w:hint="eastAsia"/>
              <w:lang w:val="en-US" w:eastAsia="zh-CN"/>
            </w:rPr>
            <w:t>0</w:t>
          </w:r>
        </w:p>
        <w:p w14:paraId="43C8BABD">
          <w:pPr>
            <w:pStyle w:val="14"/>
            <w:tabs>
              <w:tab w:val="right" w:leader="dot" w:pos="9402"/>
            </w:tabs>
            <w:rPr>
              <w:rFonts w:hint="eastAsia" w:eastAsia="宋体" w:asciiTheme="minorHAnsi" w:hAnsiTheme="minorHAnsi" w:cstheme="minorBidi"/>
              <w:sz w:val="22"/>
              <w:lang w:val="en-US" w:eastAsia="zh-CN"/>
              <w14:ligatures w14:val="standardContextual"/>
            </w:rPr>
          </w:pPr>
          <w:r>
            <w:fldChar w:fldCharType="begin"/>
          </w:r>
          <w:r>
            <w:instrText xml:space="preserve"> HYPERLINK \l "_Toc230941934" </w:instrText>
          </w:r>
          <w:r>
            <w:fldChar w:fldCharType="separate"/>
          </w:r>
          <w:r>
            <w:rPr>
              <w:rStyle w:val="24"/>
              <w:rFonts w:hint="eastAsia" w:eastAsia="黑体"/>
              <w:b/>
              <w:bCs/>
              <w:bdr w:val="single" w:color="auto" w:sz="4" w:space="0"/>
            </w:rPr>
            <w:t>研究进展</w:t>
          </w:r>
          <w:r>
            <w:rPr>
              <w:rFonts w:hint="eastAsia"/>
            </w:rPr>
            <w:tab/>
          </w:r>
          <w:r>
            <w:rPr>
              <w:rFonts w:hint="eastAsia"/>
              <w:lang w:val="en-US" w:eastAsia="zh-CN"/>
            </w:rPr>
            <w:t>1</w:t>
          </w:r>
          <w:r>
            <w:rPr>
              <w:rFonts w:hint="eastAsia"/>
            </w:rPr>
            <w:fldChar w:fldCharType="end"/>
          </w:r>
          <w:r>
            <w:rPr>
              <w:rFonts w:hint="eastAsia"/>
              <w:lang w:val="en-US" w:eastAsia="zh-CN"/>
            </w:rPr>
            <w:t>1</w:t>
          </w:r>
        </w:p>
        <w:p w14:paraId="06B0B37D">
          <w:pPr>
            <w:pStyle w:val="15"/>
            <w:rPr>
              <w:rFonts w:hint="eastAsia" w:eastAsia="黑体" w:asciiTheme="minorHAnsi" w:hAnsiTheme="minorHAnsi" w:cstheme="minorBidi"/>
              <w:sz w:val="22"/>
              <w:lang w:val="en-US" w:eastAsia="zh-CN"/>
              <w14:ligatures w14:val="standardContextual"/>
            </w:rPr>
          </w:pPr>
          <w:r>
            <w:fldChar w:fldCharType="begin"/>
          </w:r>
          <w:r>
            <w:instrText xml:space="preserve"> HYPERLINK \l "_Toc230941935" </w:instrText>
          </w:r>
          <w:r>
            <w:fldChar w:fldCharType="separate"/>
          </w:r>
          <w:r>
            <w:rPr>
              <w:rFonts w:hint="eastAsia"/>
            </w:rPr>
            <w:t>益生菌在刺参养殖中的应用进展与内共生菌的潜在价值</w:t>
          </w:r>
          <w:r>
            <w:rPr>
              <w:rFonts w:hint="eastAsia"/>
            </w:rPr>
            <w:tab/>
          </w:r>
          <w:r>
            <w:rPr>
              <w:rFonts w:hint="eastAsia"/>
              <w:lang w:val="en-US" w:eastAsia="zh-CN"/>
            </w:rPr>
            <w:t>1</w:t>
          </w:r>
          <w:r>
            <w:rPr>
              <w:rFonts w:hint="eastAsia"/>
            </w:rPr>
            <w:fldChar w:fldCharType="end"/>
          </w:r>
          <w:r>
            <w:rPr>
              <w:rFonts w:hint="eastAsia"/>
              <w:lang w:val="en-US" w:eastAsia="zh-CN"/>
            </w:rPr>
            <w:t>1</w:t>
          </w:r>
        </w:p>
        <w:p w14:paraId="43E2792F">
          <w:pPr>
            <w:pStyle w:val="14"/>
            <w:tabs>
              <w:tab w:val="right" w:leader="dot" w:pos="9402"/>
            </w:tabs>
            <w:rPr>
              <w:rFonts w:hint="eastAsia" w:eastAsia="宋体" w:asciiTheme="minorHAnsi" w:hAnsiTheme="minorHAnsi" w:cstheme="minorBidi"/>
              <w:sz w:val="22"/>
              <w:lang w:val="en-US" w:eastAsia="zh-CN"/>
              <w14:ligatures w14:val="standardContextual"/>
            </w:rPr>
          </w:pPr>
          <w:r>
            <w:fldChar w:fldCharType="begin"/>
          </w:r>
          <w:r>
            <w:instrText xml:space="preserve"> HYPERLINK \l "_Toc230941936" </w:instrText>
          </w:r>
          <w:r>
            <w:fldChar w:fldCharType="separate"/>
          </w:r>
          <w:r>
            <w:rPr>
              <w:rStyle w:val="24"/>
              <w:rFonts w:hint="eastAsia" w:eastAsia="黑体"/>
              <w:b/>
              <w:bCs/>
              <w:bdr w:val="single" w:color="auto" w:sz="4" w:space="0"/>
            </w:rPr>
            <w:t>科学研究</w:t>
          </w:r>
          <w:r>
            <w:rPr>
              <w:rFonts w:hint="eastAsia"/>
            </w:rPr>
            <w:tab/>
          </w:r>
          <w:r>
            <w:rPr>
              <w:rFonts w:hint="eastAsia"/>
              <w:lang w:val="en-US" w:eastAsia="zh-CN"/>
            </w:rPr>
            <w:t>1</w:t>
          </w:r>
          <w:r>
            <w:rPr>
              <w:rFonts w:hint="eastAsia"/>
            </w:rPr>
            <w:fldChar w:fldCharType="end"/>
          </w:r>
          <w:r>
            <w:rPr>
              <w:rFonts w:hint="eastAsia"/>
              <w:lang w:val="en-US" w:eastAsia="zh-CN"/>
            </w:rPr>
            <w:t>7</w:t>
          </w:r>
        </w:p>
        <w:p w14:paraId="624FD172">
          <w:pPr>
            <w:pStyle w:val="15"/>
            <w:rPr>
              <w:rFonts w:hint="eastAsia" w:eastAsia="黑体" w:asciiTheme="minorHAnsi" w:hAnsiTheme="minorHAnsi" w:cstheme="minorBidi"/>
              <w:sz w:val="22"/>
              <w:lang w:val="en-US" w:eastAsia="zh-CN"/>
              <w14:ligatures w14:val="standardContextual"/>
            </w:rPr>
          </w:pPr>
          <w:r>
            <w:fldChar w:fldCharType="begin"/>
          </w:r>
          <w:r>
            <w:instrText xml:space="preserve"> HYPERLINK \l "_Toc230941937" </w:instrText>
          </w:r>
          <w:r>
            <w:fldChar w:fldCharType="separate"/>
          </w:r>
          <w:r>
            <w:rPr>
              <w:rFonts w:hint="eastAsia"/>
            </w:rPr>
            <w:t>饲料蛋白质水平对瓦氏黄颡鱼雌性亲本生长性能、繁殖性能及仔鱼质量的影响</w:t>
          </w:r>
          <w:r>
            <w:rPr>
              <w:rFonts w:hint="eastAsia"/>
            </w:rPr>
            <w:tab/>
          </w:r>
          <w:r>
            <w:rPr>
              <w:rFonts w:hint="eastAsia"/>
              <w:lang w:val="en-US" w:eastAsia="zh-CN"/>
            </w:rPr>
            <w:t>1</w:t>
          </w:r>
          <w:r>
            <w:rPr>
              <w:rFonts w:hint="eastAsia"/>
            </w:rPr>
            <w:fldChar w:fldCharType="end"/>
          </w:r>
          <w:r>
            <w:rPr>
              <w:rFonts w:hint="eastAsia"/>
              <w:lang w:val="en-US" w:eastAsia="zh-CN"/>
            </w:rPr>
            <w:t>7</w:t>
          </w:r>
        </w:p>
        <w:p w14:paraId="2B22E64C">
          <w:pPr>
            <w:pStyle w:val="15"/>
            <w:rPr>
              <w:rFonts w:hint="eastAsia" w:eastAsia="黑体" w:asciiTheme="minorHAnsi" w:hAnsiTheme="minorHAnsi" w:cstheme="minorBidi"/>
              <w:sz w:val="22"/>
              <w:lang w:val="en-US" w:eastAsia="zh-CN"/>
              <w14:ligatures w14:val="standardContextual"/>
            </w:rPr>
          </w:pPr>
          <w:r>
            <w:fldChar w:fldCharType="begin"/>
          </w:r>
          <w:r>
            <w:instrText xml:space="preserve"> HYPERLINK \l "_Toc230941938" </w:instrText>
          </w:r>
          <w:r>
            <w:fldChar w:fldCharType="separate"/>
          </w:r>
          <w:r>
            <w:rPr>
              <w:rFonts w:hint="eastAsia"/>
            </w:rPr>
            <w:t>饲料蛋白质水平对大口黑鲈雌性亲鱼产后抗氧化能力和免疫功能的影响</w:t>
          </w:r>
          <w:r>
            <w:rPr>
              <w:rFonts w:hint="eastAsia"/>
            </w:rPr>
            <w:tab/>
          </w:r>
          <w:r>
            <w:rPr>
              <w:rFonts w:hint="eastAsia"/>
              <w:lang w:val="en-US" w:eastAsia="zh-CN"/>
            </w:rPr>
            <w:t>3</w:t>
          </w:r>
          <w:r>
            <w:rPr>
              <w:rFonts w:hint="eastAsia"/>
            </w:rPr>
            <w:fldChar w:fldCharType="end"/>
          </w:r>
          <w:r>
            <w:rPr>
              <w:rFonts w:hint="eastAsia"/>
              <w:lang w:val="en-US" w:eastAsia="zh-CN"/>
            </w:rPr>
            <w:t>1</w:t>
          </w:r>
        </w:p>
        <w:p w14:paraId="74E9A9F4">
          <w:pPr>
            <w:pStyle w:val="14"/>
            <w:tabs>
              <w:tab w:val="right" w:leader="dot" w:pos="9402"/>
            </w:tabs>
            <w:rPr>
              <w:rFonts w:hint="eastAsia" w:eastAsia="宋体" w:asciiTheme="minorHAnsi" w:hAnsiTheme="minorHAnsi" w:cstheme="minorBidi"/>
              <w:sz w:val="22"/>
              <w:lang w:val="en-US" w:eastAsia="zh-CN"/>
              <w14:ligatures w14:val="standardContextual"/>
            </w:rPr>
          </w:pPr>
          <w:r>
            <w:fldChar w:fldCharType="begin"/>
          </w:r>
          <w:r>
            <w:instrText xml:space="preserve"> HYPERLINK \l "_Toc230941939" </w:instrText>
          </w:r>
          <w:r>
            <w:fldChar w:fldCharType="separate"/>
          </w:r>
          <w:r>
            <w:rPr>
              <w:rStyle w:val="24"/>
              <w:rFonts w:hint="eastAsia" w:eastAsia="黑体"/>
              <w:b/>
              <w:bCs/>
              <w:bdr w:val="single" w:color="auto" w:sz="4" w:space="0"/>
            </w:rPr>
            <w:t>饲料研发</w:t>
          </w:r>
          <w:r>
            <w:rPr>
              <w:rFonts w:hint="eastAsia"/>
            </w:rPr>
            <w:tab/>
          </w:r>
          <w:r>
            <w:rPr>
              <w:rFonts w:hint="eastAsia"/>
              <w:lang w:val="en-US" w:eastAsia="zh-CN"/>
            </w:rPr>
            <w:t>4</w:t>
          </w:r>
          <w:r>
            <w:rPr>
              <w:rFonts w:hint="eastAsia"/>
            </w:rPr>
            <w:fldChar w:fldCharType="end"/>
          </w:r>
          <w:r>
            <w:rPr>
              <w:rFonts w:hint="eastAsia"/>
              <w:lang w:val="en-US" w:eastAsia="zh-CN"/>
            </w:rPr>
            <w:t>9</w:t>
          </w:r>
        </w:p>
        <w:p w14:paraId="48B52DAB">
          <w:pPr>
            <w:pStyle w:val="15"/>
            <w:rPr>
              <w:rFonts w:hint="default"/>
              <w:lang w:val="en-US"/>
            </w:rPr>
          </w:pPr>
          <w:r>
            <w:rPr>
              <w:rFonts w:hint="eastAsia"/>
            </w:rPr>
            <w:t>五倍子提取物对大口黑鲈生长性能、肠道组织及酶活性的影响</w:t>
          </w:r>
          <w:r>
            <w:rPr>
              <w:rFonts w:hint="eastAsia"/>
            </w:rPr>
            <w:tab/>
          </w:r>
          <w:r>
            <w:rPr>
              <w:rFonts w:hint="eastAsia"/>
              <w:lang w:val="en-US" w:eastAsia="zh-CN"/>
            </w:rPr>
            <w:t>49</w:t>
          </w:r>
        </w:p>
        <w:p w14:paraId="36EBB447">
          <w:pPr>
            <w:pStyle w:val="15"/>
            <w:rPr>
              <w:rFonts w:hint="default" w:eastAsia="黑体"/>
              <w:lang w:val="en-US" w:eastAsia="zh-CN"/>
            </w:rPr>
          </w:pPr>
          <w:r>
            <w:fldChar w:fldCharType="begin"/>
          </w:r>
          <w:r>
            <w:instrText xml:space="preserve"> HYPERLINK \l "_Toc230941940" </w:instrText>
          </w:r>
          <w:r>
            <w:fldChar w:fldCharType="separate"/>
          </w:r>
          <w:r>
            <w:rPr>
              <w:rFonts w:hint="eastAsia"/>
            </w:rPr>
            <w:t>约氏乳杆菌对黄鳝生长性能和脂质代谢的影响</w:t>
          </w:r>
          <w:r>
            <w:rPr>
              <w:rFonts w:hint="eastAsia"/>
            </w:rPr>
            <w:tab/>
          </w:r>
          <w:r>
            <w:rPr>
              <w:rFonts w:hint="eastAsia"/>
            </w:rPr>
            <w:fldChar w:fldCharType="end"/>
          </w:r>
          <w:r>
            <w:rPr>
              <w:rFonts w:hint="eastAsia"/>
              <w:lang w:val="en-US" w:eastAsia="zh-CN"/>
            </w:rPr>
            <w:t>56</w:t>
          </w:r>
        </w:p>
        <w:p w14:paraId="5410D19C">
          <w:r>
            <w:rPr>
              <w:lang w:val="zh-CN"/>
            </w:rPr>
            <w:fldChar w:fldCharType="end"/>
          </w:r>
        </w:p>
      </w:sdtContent>
    </w:sdt>
    <w:p w14:paraId="24463287">
      <w:pPr>
        <w:spacing w:line="360" w:lineRule="auto"/>
        <w:ind w:left="-94" w:leftChars="-45" w:right="-334" w:rightChars="-159"/>
        <w:jc w:val="left"/>
        <w:rPr>
          <w:rStyle w:val="96"/>
          <w:rFonts w:eastAsia="黑体"/>
          <w:b/>
          <w:bCs/>
          <w:sz w:val="32"/>
          <w:szCs w:val="32"/>
          <w:bdr w:val="single" w:color="auto" w:sz="4" w:space="0"/>
        </w:rPr>
      </w:pPr>
    </w:p>
    <w:p w14:paraId="340D2B40">
      <w:pPr>
        <w:spacing w:line="360" w:lineRule="auto"/>
        <w:ind w:left="-94" w:leftChars="-45" w:right="-334" w:rightChars="-159"/>
        <w:jc w:val="left"/>
        <w:rPr>
          <w:rStyle w:val="96"/>
          <w:rFonts w:eastAsia="黑体"/>
          <w:b/>
          <w:bCs/>
          <w:sz w:val="32"/>
          <w:szCs w:val="32"/>
          <w:bdr w:val="single" w:color="auto" w:sz="4" w:space="0"/>
        </w:rPr>
      </w:pPr>
    </w:p>
    <w:p w14:paraId="784117A7">
      <w:pPr>
        <w:spacing w:line="360" w:lineRule="auto"/>
        <w:ind w:right="-334" w:rightChars="-159"/>
        <w:jc w:val="left"/>
        <w:rPr>
          <w:rStyle w:val="96"/>
          <w:rFonts w:eastAsia="黑体"/>
          <w:b/>
          <w:bCs/>
          <w:sz w:val="32"/>
          <w:szCs w:val="32"/>
          <w:bdr w:val="single" w:color="auto" w:sz="4" w:space="0"/>
        </w:rPr>
      </w:pPr>
    </w:p>
    <w:p w14:paraId="743566F6">
      <w:pPr>
        <w:spacing w:line="360" w:lineRule="auto"/>
        <w:ind w:left="-94" w:leftChars="-45" w:right="-334" w:rightChars="-159"/>
        <w:jc w:val="left"/>
        <w:rPr>
          <w:b/>
          <w:bCs/>
          <w:sz w:val="32"/>
          <w:szCs w:val="32"/>
        </w:rPr>
      </w:pPr>
      <w:r>
        <w:rPr>
          <w:b/>
          <w:bCs/>
          <w:sz w:val="32"/>
          <w:szCs w:val="32"/>
        </w:rPr>
        <mc:AlternateContent>
          <mc:Choice Requires="wps">
            <w:drawing>
              <wp:anchor distT="0" distB="0" distL="114300" distR="114300" simplePos="0" relativeHeight="251666432" behindDoc="0" locked="0" layoutInCell="1" allowOverlap="1">
                <wp:simplePos x="0" y="0"/>
                <wp:positionH relativeFrom="column">
                  <wp:posOffset>-113030</wp:posOffset>
                </wp:positionH>
                <wp:positionV relativeFrom="paragraph">
                  <wp:posOffset>1882775</wp:posOffset>
                </wp:positionV>
                <wp:extent cx="6212205" cy="0"/>
                <wp:effectExtent l="0" t="19050" r="55880" b="38100"/>
                <wp:wrapNone/>
                <wp:docPr id="929722742" name="直线 5"/>
                <wp:cNvGraphicFramePr/>
                <a:graphic xmlns:a="http://schemas.openxmlformats.org/drawingml/2006/main">
                  <a:graphicData uri="http://schemas.microsoft.com/office/word/2010/wordprocessingShape">
                    <wps:wsp>
                      <wps:cNvCnPr>
                        <a:cxnSpLocks noChangeShapeType="1"/>
                      </wps:cNvCnPr>
                      <wps:spPr bwMode="auto">
                        <a:xfrm>
                          <a:off x="0" y="0"/>
                          <a:ext cx="6212020" cy="0"/>
                        </a:xfrm>
                        <a:prstGeom prst="line">
                          <a:avLst/>
                        </a:prstGeom>
                        <a:noFill/>
                        <a:ln w="57150" cmpd="thickThin">
                          <a:solidFill>
                            <a:srgbClr val="000000"/>
                          </a:solidFill>
                          <a:round/>
                        </a:ln>
                      </wps:spPr>
                      <wps:bodyPr/>
                    </wps:wsp>
                  </a:graphicData>
                </a:graphic>
              </wp:anchor>
            </w:drawing>
          </mc:Choice>
          <mc:Fallback>
            <w:pict>
              <v:line id="直线 5" o:spid="_x0000_s1026" o:spt="20" style="position:absolute;left:0pt;margin-left:-8.9pt;margin-top:148.25pt;height:0pt;width:489.15pt;z-index:251666432;mso-width-relative:page;mso-height-relative:page;" filled="f" stroked="t" coordsize="21600,21600" o:gfxdata="UEsDBAoAAAAAAIdO4kAAAAAAAAAAAAAAAAAEAAAAZHJzL1BLAwQUAAAACACHTuJAM2Jj/9YAAAAL&#10;AQAADwAAAGRycy9kb3ducmV2LnhtbE2PwU7DMBBE70j8g7VI3Fo7hYY0jVMhKj6AwIGjG2+TCHsd&#10;xW4b+HoWCQluu7OjmbfVbvZOnHGKQyAN2VKBQGqDHajT8Pb6vChAxGTIGhcINXxihF19fVWZ0oYL&#10;veC5SZ3gEIql0dCnNJZSxrZHb+IyjEh8O4bJm8Tr1Ek7mQuHeydXSuXSm4G4oTcjPvXYfjQnr6EJ&#10;yu3nxzvXfBX37/vQFuO0jlrf3mRqCyLhnP7M8IPP6FAz0yGcyEbhNCyyB0ZPGlabfA2CHZtc8XD4&#10;VWRdyf8/1N9QSwMEFAAAAAgAh07iQHJy6EnpAQAAuwMAAA4AAABkcnMvZTJvRG9jLnhtbK1TS24b&#10;MQzdF+gdBO3rsQd13Aw8zsJGuklbA3EOIGs0HiGSKIiyxz5Lr9FVNz1OrlFK/jRNNllkFoIoko98&#10;j5zpzd4atlMBNbiajwZDzpST0Gi3qfnD6vbTF84wCtcIA07V/KCQ38w+fpj2vlIldGAaFRiBOKx6&#10;X/MuRl8VBcpOWYED8MqRs4VgRSQzbIomiJ7QrSnK4fCq6CE0PoBUiPS6ODr5CTG8BRDaVku1ALm1&#10;ysUjalBGRKKEnfbIZ7nbtlUy/mhbVJGZmhPTmE8qQvd1OovZVFSbIHyn5akF8ZYWXnCyQjsqeoFa&#10;iCjYNuhXUFbLAAhtHEiwxZFIVoRYjIYvtLnvhFeZC0mN/iI6vh+s/L5bBqabml+X15OynHwuOXPC&#10;0uCffv56+v2HjZNGvceKQuduGRJLuXf3/g7kIzIH8064jcq9rg6eEkcpo/gvJRnoqdK6/wYNxYht&#10;hCzYvg02QZIUbJ/ncrjMRe0jk/R4VY7KYUkjk2dfIapzog8YvyqwLF1qbrRLkolK7O4wpkZEdQ5J&#10;zw5utTF57MaxvubjyWicoK0nESKtweOqOw0TwegmhadEDJv13AS2E2mV8pd5kud5WICta45ljTvJ&#10;kJgfNVxDc1iGszw009zfaf/S0jy3c/a/f272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DNiY//W&#10;AAAACwEAAA8AAAAAAAAAAQAgAAAAIgAAAGRycy9kb3ducmV2LnhtbFBLAQIUABQAAAAIAIdO4kBy&#10;cuhJ6QEAALsDAAAOAAAAAAAAAAEAIAAAACUBAABkcnMvZTJvRG9jLnhtbFBLBQYAAAAABgAGAFkB&#10;AACABQAAAAA=&#10;">
                <v:fill on="f" focussize="0,0"/>
                <v:stroke weight="4.5pt" color="#000000" linestyle="thickThin" joinstyle="round"/>
                <v:imagedata o:title=""/>
                <o:lock v:ext="edit" aspectratio="f"/>
              </v:line>
            </w:pict>
          </mc:Fallback>
        </mc:AlternateContent>
      </w:r>
      <w:r>
        <w:rPr>
          <w:b/>
          <w:bCs/>
          <w:sz w:val="32"/>
          <w:szCs w:val="32"/>
        </w:rPr>
        <w:drawing>
          <wp:anchor distT="0" distB="0" distL="114300" distR="114300" simplePos="0" relativeHeight="251663360" behindDoc="0" locked="0" layoutInCell="1" allowOverlap="1">
            <wp:simplePos x="0" y="0"/>
            <wp:positionH relativeFrom="column">
              <wp:posOffset>0</wp:posOffset>
            </wp:positionH>
            <wp:positionV relativeFrom="paragraph">
              <wp:posOffset>99060</wp:posOffset>
            </wp:positionV>
            <wp:extent cx="1257300" cy="1257300"/>
            <wp:effectExtent l="0" t="0" r="0" b="0"/>
            <wp:wrapTopAndBottom/>
            <wp:docPr id="1025840065" name="图片 1025840065" descr="徽标（白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840065" name="图片 1025840065" descr="徽标（白边）"/>
                    <pic:cNvPicPr>
                      <a:picLocks noChangeAspect="1" noChangeArrowheads="1"/>
                    </pic:cNvPicPr>
                  </pic:nvPicPr>
                  <pic:blipFill>
                    <a:blip r:embed="rId5" cstate="print"/>
                    <a:srcRect/>
                    <a:stretch>
                      <a:fillRect/>
                    </a:stretch>
                  </pic:blipFill>
                  <pic:spPr>
                    <a:xfrm>
                      <a:off x="0" y="0"/>
                      <a:ext cx="1257300" cy="1257300"/>
                    </a:xfrm>
                    <a:prstGeom prst="rect">
                      <a:avLst/>
                    </a:prstGeom>
                    <a:noFill/>
                    <a:ln w="9525">
                      <a:noFill/>
                      <a:miter lim="800000"/>
                      <a:headEnd/>
                      <a:tailEnd/>
                    </a:ln>
                  </pic:spPr>
                </pic:pic>
              </a:graphicData>
            </a:graphic>
          </wp:anchor>
        </w:drawing>
      </w:r>
      <w:r>
        <w:rPr>
          <w:b/>
          <w:bCs/>
          <w:sz w:val="32"/>
          <w:szCs w:val="32"/>
        </w:rPr>
        <w:drawing>
          <wp:anchor distT="0" distB="0" distL="114300" distR="114300" simplePos="0" relativeHeight="251664384" behindDoc="0" locked="0" layoutInCell="1" allowOverlap="1">
            <wp:simplePos x="0" y="0"/>
            <wp:positionH relativeFrom="column">
              <wp:posOffset>1714500</wp:posOffset>
            </wp:positionH>
            <wp:positionV relativeFrom="paragraph">
              <wp:posOffset>693420</wp:posOffset>
            </wp:positionV>
            <wp:extent cx="3200400" cy="805180"/>
            <wp:effectExtent l="0" t="0" r="0" b="0"/>
            <wp:wrapTopAndBottom/>
            <wp:docPr id="2082212569" name="图片 2082212569" descr="信息简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12569" name="图片 2082212569" descr="信息简报"/>
                    <pic:cNvPicPr>
                      <a:picLocks noChangeAspect="1" noChangeArrowheads="1"/>
                    </pic:cNvPicPr>
                  </pic:nvPicPr>
                  <pic:blipFill>
                    <a:blip r:embed="rId6" cstate="print"/>
                    <a:srcRect l="11453" t="15935" r="17537" b="12360"/>
                    <a:stretch>
                      <a:fillRect/>
                    </a:stretch>
                  </pic:blipFill>
                  <pic:spPr>
                    <a:xfrm>
                      <a:off x="0" y="0"/>
                      <a:ext cx="3200400" cy="805180"/>
                    </a:xfrm>
                    <a:prstGeom prst="rect">
                      <a:avLst/>
                    </a:prstGeom>
                    <a:noFill/>
                    <a:ln w="9525">
                      <a:noFill/>
                      <a:miter lim="800000"/>
                      <a:headEnd/>
                      <a:tailEnd/>
                    </a:ln>
                  </pic:spPr>
                </pic:pic>
              </a:graphicData>
            </a:graphic>
          </wp:anchor>
        </w:drawing>
      </w:r>
      <w:r>
        <w:rPr>
          <w:b/>
          <w:bCs/>
          <w:sz w:val="32"/>
          <w:szCs w:val="32"/>
        </w:rPr>
        <w:drawing>
          <wp:anchor distT="0" distB="0" distL="114300" distR="114300" simplePos="0" relativeHeight="251665408" behindDoc="0" locked="0" layoutInCell="1" allowOverlap="1">
            <wp:simplePos x="0" y="0"/>
            <wp:positionH relativeFrom="column">
              <wp:posOffset>914400</wp:posOffset>
            </wp:positionH>
            <wp:positionV relativeFrom="paragraph">
              <wp:posOffset>0</wp:posOffset>
            </wp:positionV>
            <wp:extent cx="5029200" cy="783590"/>
            <wp:effectExtent l="0" t="0" r="0" b="0"/>
            <wp:wrapNone/>
            <wp:docPr id="962329013" name="图片 962329013" descr="福建省水产饲料研究会 - 刘中一题—红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329013" name="图片 962329013" descr="福建省水产饲料研究会 - 刘中一题—红色"/>
                    <pic:cNvPicPr>
                      <a:picLocks noChangeAspect="1" noChangeArrowheads="1"/>
                    </pic:cNvPicPr>
                  </pic:nvPicPr>
                  <pic:blipFill>
                    <a:blip r:embed="rId7" cstate="print"/>
                    <a:srcRect/>
                    <a:stretch>
                      <a:fillRect/>
                    </a:stretch>
                  </pic:blipFill>
                  <pic:spPr>
                    <a:xfrm>
                      <a:off x="0" y="0"/>
                      <a:ext cx="5029200" cy="783590"/>
                    </a:xfrm>
                    <a:prstGeom prst="rect">
                      <a:avLst/>
                    </a:prstGeom>
                    <a:noFill/>
                    <a:ln w="9525">
                      <a:noFill/>
                      <a:miter lim="800000"/>
                      <a:headEnd/>
                      <a:tailEnd/>
                    </a:ln>
                  </pic:spPr>
                </pic:pic>
              </a:graphicData>
            </a:graphic>
          </wp:anchor>
        </w:drawing>
      </w:r>
      <w:r>
        <w:rPr>
          <w:b/>
          <w:bCs/>
          <w:sz w:val="32"/>
          <w:szCs w:val="32"/>
        </w:rPr>
        <w:t>51350000B20881845C</w:t>
      </w:r>
      <w:r>
        <w:rPr>
          <w:rFonts w:hint="eastAsia"/>
          <w:b/>
          <w:bCs/>
          <w:sz w:val="32"/>
          <w:szCs w:val="32"/>
        </w:rPr>
        <w:t xml:space="preserve">   </w:t>
      </w:r>
      <w:r>
        <w:rPr>
          <w:b/>
          <w:bCs/>
          <w:sz w:val="32"/>
          <w:szCs w:val="32"/>
        </w:rPr>
        <w:t>第</w:t>
      </w:r>
      <w:r>
        <w:rPr>
          <w:rFonts w:hint="eastAsia"/>
          <w:b/>
          <w:bCs/>
          <w:sz w:val="32"/>
          <w:szCs w:val="32"/>
        </w:rPr>
        <w:t>1</w:t>
      </w:r>
      <w:r>
        <w:rPr>
          <w:rFonts w:hint="eastAsia"/>
          <w:b/>
          <w:bCs/>
          <w:sz w:val="32"/>
          <w:szCs w:val="32"/>
          <w:lang w:val="en-US" w:eastAsia="zh-CN"/>
        </w:rPr>
        <w:t>1</w:t>
      </w:r>
      <w:r>
        <w:rPr>
          <w:b/>
          <w:bCs/>
          <w:sz w:val="32"/>
          <w:szCs w:val="32"/>
        </w:rPr>
        <w:t>期  (总第</w:t>
      </w:r>
      <w:r>
        <w:rPr>
          <w:rFonts w:hint="eastAsia"/>
          <w:b/>
          <w:bCs/>
          <w:sz w:val="32"/>
          <w:szCs w:val="32"/>
        </w:rPr>
        <w:t>45</w:t>
      </w:r>
      <w:r>
        <w:rPr>
          <w:rFonts w:hint="eastAsia"/>
          <w:b/>
          <w:bCs/>
          <w:sz w:val="32"/>
          <w:szCs w:val="32"/>
          <w:lang w:val="en-US" w:eastAsia="zh-CN"/>
        </w:rPr>
        <w:t>6</w:t>
      </w:r>
      <w:r>
        <w:rPr>
          <w:b/>
          <w:bCs/>
          <w:sz w:val="32"/>
          <w:szCs w:val="32"/>
        </w:rPr>
        <w:t>期)</w:t>
      </w:r>
      <w:r>
        <w:rPr>
          <w:rFonts w:hint="eastAsia"/>
          <w:b/>
          <w:bCs/>
          <w:sz w:val="32"/>
          <w:szCs w:val="32"/>
        </w:rPr>
        <w:t xml:space="preserve">   </w:t>
      </w:r>
      <w:r>
        <w:rPr>
          <w:b/>
          <w:bCs/>
          <w:sz w:val="32"/>
          <w:szCs w:val="32"/>
        </w:rPr>
        <w:t>202</w:t>
      </w:r>
      <w:r>
        <w:rPr>
          <w:rFonts w:hint="eastAsia"/>
          <w:b/>
          <w:bCs/>
          <w:sz w:val="32"/>
          <w:szCs w:val="32"/>
        </w:rPr>
        <w:t>6</w:t>
      </w:r>
      <w:r>
        <w:rPr>
          <w:b/>
          <w:bCs/>
          <w:sz w:val="32"/>
          <w:szCs w:val="32"/>
        </w:rPr>
        <w:t>年</w:t>
      </w:r>
      <w:r>
        <w:rPr>
          <w:rFonts w:hint="eastAsia"/>
          <w:b/>
          <w:bCs/>
          <w:sz w:val="32"/>
          <w:szCs w:val="32"/>
          <w:lang w:val="en-US" w:eastAsia="zh-CN"/>
        </w:rPr>
        <w:t>6</w:t>
      </w:r>
      <w:r>
        <w:rPr>
          <w:b/>
          <w:bCs/>
          <w:sz w:val="32"/>
          <w:szCs w:val="32"/>
        </w:rPr>
        <w:t>月</w:t>
      </w:r>
      <w:r>
        <w:rPr>
          <w:rFonts w:hint="eastAsia"/>
          <w:b/>
          <w:bCs/>
          <w:sz w:val="32"/>
          <w:szCs w:val="32"/>
          <w:lang w:val="en-US" w:eastAsia="zh-CN"/>
        </w:rPr>
        <w:t>15</w:t>
      </w:r>
      <w:r>
        <w:rPr>
          <w:b/>
          <w:bCs/>
          <w:sz w:val="32"/>
          <w:szCs w:val="32"/>
        </w:rPr>
        <w:t>日</w:t>
      </w:r>
    </w:p>
    <w:p w14:paraId="3FBBF0F7">
      <w:pPr>
        <w:spacing w:line="276" w:lineRule="auto"/>
        <w:jc w:val="left"/>
        <w:outlineLvl w:val="0"/>
        <w:rPr>
          <w:rStyle w:val="96"/>
          <w:rFonts w:eastAsia="黑体"/>
          <w:b/>
          <w:bCs/>
          <w:sz w:val="32"/>
          <w:szCs w:val="32"/>
          <w:bdr w:val="single" w:color="auto" w:sz="4" w:space="0"/>
        </w:rPr>
      </w:pPr>
      <w:bookmarkStart w:id="2" w:name="_Toc230941918"/>
      <w:r>
        <w:rPr>
          <w:rStyle w:val="96"/>
          <w:rFonts w:hint="eastAsia" w:eastAsia="黑体"/>
          <w:b/>
          <w:bCs/>
          <w:sz w:val="32"/>
          <w:szCs w:val="32"/>
          <w:bdr w:val="single" w:color="auto" w:sz="4" w:space="0"/>
        </w:rPr>
        <w:t>重要资讯</w:t>
      </w:r>
      <w:bookmarkEnd w:id="2"/>
    </w:p>
    <w:p w14:paraId="2818087A">
      <w:pPr>
        <w:spacing w:line="360" w:lineRule="auto"/>
        <w:jc w:val="center"/>
        <w:outlineLvl w:val="1"/>
        <w:rPr>
          <w:rFonts w:eastAsia="黑体"/>
          <w:b/>
          <w:bCs/>
          <w:sz w:val="32"/>
          <w:szCs w:val="32"/>
        </w:rPr>
      </w:pPr>
      <w:r>
        <w:rPr>
          <w:rFonts w:hint="eastAsia" w:eastAsia="黑体"/>
          <w:b/>
          <w:bCs/>
          <w:sz w:val="32"/>
          <w:szCs w:val="32"/>
        </w:rPr>
        <w:t>农业农村部、国家发展改革委负责人就《加快农业农村现代化“十五五”规划》答记者问</w:t>
      </w:r>
    </w:p>
    <w:p w14:paraId="1DCBC62D">
      <w:pPr>
        <w:spacing w:line="360" w:lineRule="auto"/>
        <w:ind w:firstLine="426"/>
        <w:rPr>
          <w:rFonts w:hint="eastAsia" w:eastAsiaTheme="minorEastAsia"/>
          <w:sz w:val="24"/>
        </w:rPr>
      </w:pPr>
      <w:r>
        <w:rPr>
          <w:rFonts w:hint="eastAsia" w:eastAsiaTheme="minorEastAsia"/>
          <w:sz w:val="24"/>
        </w:rPr>
        <w:t>近期，国务院印发《加快农业农村现代化“十五五”规划》（以下简称《规划》）。日前，农业农村部、国家发展改革委负责人就起草编制、学习贯彻《规划》有关情况回答了记者提问。</w:t>
      </w:r>
    </w:p>
    <w:p w14:paraId="756E7F61">
      <w:pPr>
        <w:spacing w:line="360" w:lineRule="auto"/>
        <w:ind w:firstLine="426"/>
        <w:rPr>
          <w:rFonts w:hint="eastAsia" w:eastAsiaTheme="minorEastAsia"/>
          <w:sz w:val="24"/>
        </w:rPr>
      </w:pPr>
      <w:r>
        <w:rPr>
          <w:rFonts w:hint="eastAsia" w:eastAsiaTheme="minorEastAsia"/>
          <w:sz w:val="24"/>
        </w:rPr>
        <w:t>　　问：《规划》出台有什么背景和意义？</w:t>
      </w:r>
    </w:p>
    <w:p w14:paraId="122D3710">
      <w:pPr>
        <w:spacing w:line="360" w:lineRule="auto"/>
        <w:ind w:firstLine="426"/>
        <w:rPr>
          <w:rFonts w:hint="eastAsia" w:eastAsiaTheme="minorEastAsia"/>
          <w:sz w:val="24"/>
        </w:rPr>
      </w:pPr>
      <w:r>
        <w:rPr>
          <w:rFonts w:hint="eastAsia" w:eastAsiaTheme="minorEastAsia"/>
          <w:sz w:val="24"/>
        </w:rPr>
        <w:t>　　答：农业农村现代化关系中国式现代化全局和成色，是中国式现代化的底座。习近平总书记高度重视农业农村现代化建设，多次作出重要指示批示，深刻指出实现农业农村现代化是全面建设社会主义现代化国家的重大任务，反复强调没有农业农村现代化，就没有整个国家现代化。</w:t>
      </w:r>
    </w:p>
    <w:p w14:paraId="1B433F9F">
      <w:pPr>
        <w:spacing w:line="360" w:lineRule="auto"/>
        <w:ind w:firstLine="426"/>
        <w:rPr>
          <w:rFonts w:hint="eastAsia" w:eastAsiaTheme="minorEastAsia"/>
          <w:sz w:val="24"/>
        </w:rPr>
      </w:pPr>
      <w:r>
        <w:rPr>
          <w:rFonts w:hint="eastAsia" w:eastAsiaTheme="minorEastAsia"/>
          <w:sz w:val="24"/>
        </w:rPr>
        <w:t>　　“十四五”时期，我国农业农村发展取得重大成就，粮食产量跃上1.4万亿斤新台阶，脱贫攻坚成果巩固拓展，牢牢守住了确保国家粮食安全、确保不发生规模性返贫致贫的底线，学习运用“千万工程”经验走深走实，宜居宜业和美乡村建设扎实推进，农业农村现代化迈出新的坚实步伐，为稳大局、应变局、开新局提供了有力支撑。但全面建设社会主义现代化国家最艰巨最繁重的任务依然在农村，农业综合生产能力和质量效益亟需提升，农村基础设施和公共服务亟待完善，农业农村现代化相对滞后。“十五五”时期推进社会主义现代化建设，“夯实基础”必须补上“三农”领域短板弱项，“全面发力”必须破解制约“三农”发展难点堵点。</w:t>
      </w:r>
    </w:p>
    <w:p w14:paraId="3CA98E36">
      <w:pPr>
        <w:spacing w:line="360" w:lineRule="auto"/>
        <w:ind w:firstLine="426"/>
        <w:rPr>
          <w:rFonts w:hint="eastAsia" w:eastAsiaTheme="minorEastAsia"/>
          <w:sz w:val="24"/>
        </w:rPr>
      </w:pPr>
      <w:r>
        <w:rPr>
          <w:rFonts w:hint="eastAsia" w:eastAsiaTheme="minorEastAsia"/>
          <w:sz w:val="24"/>
        </w:rPr>
        <w:t>　　党的二十届四中全会对加快农业农村现代化、扎实推进乡村全面振兴作出战略部署，“十五五”规划纲要作了系统安排。贯彻落实党中央、国务院决策部署，农业农村部、国家发展改革委会同有关方面，坚持目标导向、问题导向，持续深化对“十五五”时期农业农村高质量发展形势、目标、规律、路径的科学认识，对稳产保供、常态化帮扶、科技创新、农民增收、乡村振兴等领域开展研究，广泛听取各方意见建议，起草形成《规划》，已经国务院常务会议审议通过，以国务院文件印发。制定《规划》，有利于落实农业农村优先发展，集聚各方资源力量，扎实做好“三农”工作，为以加快农业农村现代化更好推进中国式现代化建设提供行动指南。</w:t>
      </w:r>
    </w:p>
    <w:p w14:paraId="4800E945">
      <w:pPr>
        <w:spacing w:line="360" w:lineRule="auto"/>
        <w:ind w:firstLine="426"/>
        <w:rPr>
          <w:rFonts w:hint="eastAsia" w:eastAsiaTheme="minorEastAsia"/>
          <w:sz w:val="24"/>
        </w:rPr>
      </w:pPr>
      <w:r>
        <w:rPr>
          <w:rFonts w:hint="eastAsia" w:eastAsiaTheme="minorEastAsia"/>
          <w:sz w:val="24"/>
        </w:rPr>
        <w:t>　　问：《规划》编制的主要思路是什么？在总体目标设定上有哪些考虑？</w:t>
      </w:r>
    </w:p>
    <w:p w14:paraId="01AC9B3E">
      <w:pPr>
        <w:spacing w:line="360" w:lineRule="auto"/>
        <w:ind w:firstLine="426"/>
        <w:rPr>
          <w:rFonts w:hint="eastAsia" w:eastAsiaTheme="minorEastAsia"/>
          <w:sz w:val="24"/>
        </w:rPr>
      </w:pPr>
      <w:r>
        <w:rPr>
          <w:rFonts w:hint="eastAsia" w:eastAsiaTheme="minorEastAsia"/>
          <w:sz w:val="24"/>
        </w:rPr>
        <w:t>　　答：《规划》坚持以习近平新时代中国特色社会主义思想为指导，深入贯彻党的二十大和二十届历次全会精神，认真落实四中全会部署，全面贯彻习近平总书记关于“三农”工作的重要论述和重要指示精神，坚持把解决好“三农”问题作为全党工作重中之重，坚持和加强党对“三农”工作的全面领导，完整准确全面贯彻新发展理念，坚持稳中求进工作总基调，坚持农业农村优先发展，坚持城乡融合发展，锚定建设农业强国目标，以推进乡村全面振兴为总抓手，以学习运用“千万工程”经验为引领，以改革创新为根本动力，一体推进农业现代化和农村现代化，统筹发展科技农业、绿色农业、质量农业、品牌农业，统筹建立常态化防止返贫致贫机制，加快推进宜居宜业和美乡村建设，推动基本实现农业现代化、农村基本具备现代生活条件取得重大进展，为确保基本实现社会主义现代化取得决定性进展提供基础支撑。</w:t>
      </w:r>
    </w:p>
    <w:p w14:paraId="1C0390C5">
      <w:pPr>
        <w:spacing w:line="360" w:lineRule="auto"/>
        <w:ind w:firstLine="426"/>
        <w:rPr>
          <w:rFonts w:hint="eastAsia" w:eastAsiaTheme="minorEastAsia"/>
          <w:sz w:val="24"/>
        </w:rPr>
      </w:pPr>
      <w:r>
        <w:rPr>
          <w:rFonts w:hint="eastAsia" w:eastAsiaTheme="minorEastAsia"/>
          <w:sz w:val="24"/>
        </w:rPr>
        <w:t>　　遵循总体思路，将党的二十届四中全会《建议》稿和“十五五”规划纲要部署贯穿《规划》全文，统筹考虑发展基础、支撑条件、现实需要，围绕推动基本实现农业现代化、农村基本具备现代生活条件取得重大进展，科学设置目标指标，提出到2030年粮食等重要农产品供给保障能力稳步提升，粮食综合生产能力达到1.45万亿斤左右，粮食安全根基持续夯实；农业质量效益和竞争力不断提高，农业及相关产业增加值达到25.8万亿元；脱贫攻坚成果持续巩固拓展，常态化防止返贫致贫机制更加完善；农业科技自立自强水平大幅提高，发展农业新质生产力取得重大突破，农业科技进步贡献率达到67%；把农业建成现代化大产业取得重要进展，农民收入持续较快增长，城乡居民收入比持续缩小；宜居宜业和美乡村加快建设，农村基础设施完备度、公共服务便利度、人居环境舒适度逐步提高；城乡融合发展实现新突破，基本公共服务均等化水平明显提升，农村改革扎实推进，农业农村高质量发展取得显著成效。</w:t>
      </w:r>
    </w:p>
    <w:p w14:paraId="55F0E36F">
      <w:pPr>
        <w:spacing w:line="360" w:lineRule="auto"/>
        <w:ind w:firstLine="426"/>
        <w:rPr>
          <w:rFonts w:hint="eastAsia" w:eastAsiaTheme="minorEastAsia"/>
          <w:sz w:val="24"/>
        </w:rPr>
      </w:pPr>
      <w:r>
        <w:rPr>
          <w:rFonts w:hint="eastAsia" w:eastAsiaTheme="minorEastAsia"/>
          <w:sz w:val="24"/>
        </w:rPr>
        <w:t>　　问：请介绍一下《规划》的结构和主要内容。</w:t>
      </w:r>
    </w:p>
    <w:p w14:paraId="1B583E8C">
      <w:pPr>
        <w:spacing w:line="360" w:lineRule="auto"/>
        <w:ind w:firstLine="426"/>
        <w:rPr>
          <w:rFonts w:hint="eastAsia" w:eastAsiaTheme="minorEastAsia"/>
          <w:sz w:val="24"/>
        </w:rPr>
      </w:pPr>
      <w:r>
        <w:rPr>
          <w:rFonts w:hint="eastAsia" w:eastAsiaTheme="minorEastAsia"/>
          <w:sz w:val="24"/>
        </w:rPr>
        <w:t>　　答：习近平总书记强调，要坚持农业现代化和农村现代化一体设计、一并推进；农村现代化既包括“物”的现代化，也包括“人”的现代化，还包括乡村治理体系和治理能力的现代化。《规划》遵循农业农村发展规律，立足国情农情，对“十五五”时期农业农村发展谋篇布局。</w:t>
      </w:r>
    </w:p>
    <w:p w14:paraId="15A2040B">
      <w:pPr>
        <w:spacing w:line="360" w:lineRule="auto"/>
        <w:ind w:firstLine="426"/>
        <w:rPr>
          <w:rFonts w:hint="eastAsia" w:eastAsiaTheme="minorEastAsia"/>
          <w:sz w:val="24"/>
        </w:rPr>
      </w:pPr>
      <w:r>
        <w:rPr>
          <w:rFonts w:hint="eastAsia" w:eastAsiaTheme="minorEastAsia"/>
          <w:sz w:val="24"/>
        </w:rPr>
        <w:t>　　第一，《规划》提出了“十五五”时期加快农业农村现代化的总体要求。明确加快农业农村现代化的总体思路和主要目标指标。</w:t>
      </w:r>
    </w:p>
    <w:p w14:paraId="29F437F1">
      <w:pPr>
        <w:spacing w:line="360" w:lineRule="auto"/>
        <w:ind w:firstLine="426"/>
        <w:rPr>
          <w:rFonts w:hint="eastAsia" w:eastAsiaTheme="minorEastAsia"/>
          <w:sz w:val="24"/>
        </w:rPr>
      </w:pPr>
      <w:r>
        <w:rPr>
          <w:rFonts w:hint="eastAsia" w:eastAsiaTheme="minorEastAsia"/>
          <w:sz w:val="24"/>
        </w:rPr>
        <w:t>　　第二，《规划》部署了“十五五”时期加快农业农村现代化七方面重点任务。分领域部署重点任务和重大举措，其中前两部分体现坚决守牢粮食安全、不发生规模性返贫致贫“两条底线”，接着三部分侧重农业现代化，再一部分侧重农村现代化，最后体现政策效能和农村改革。</w:t>
      </w:r>
    </w:p>
    <w:p w14:paraId="23FB24E2">
      <w:pPr>
        <w:spacing w:line="360" w:lineRule="auto"/>
        <w:ind w:firstLine="426"/>
        <w:rPr>
          <w:rFonts w:hint="eastAsia" w:eastAsiaTheme="minorEastAsia"/>
          <w:sz w:val="24"/>
        </w:rPr>
      </w:pPr>
      <w:r>
        <w:rPr>
          <w:rFonts w:hint="eastAsia" w:eastAsiaTheme="minorEastAsia"/>
          <w:sz w:val="24"/>
        </w:rPr>
        <w:t>　　一是提升农业综合生产能力和质量效益。顺应农业由产量主导向产量品质并重转变的趋势，落实统筹发展科技农业、绿色农业、质量农业、品牌农业的要求，提出增强粮食等重要农产品供给保障能力，推进农产品供给结构优化和质量效益提升，构建多元化食物供给体系，强化耕地保护和质量提升，全面增强农业防灾减灾救灾能力，提升农业对外投资和贸易合作质量等任务。</w:t>
      </w:r>
    </w:p>
    <w:p w14:paraId="03D29C88">
      <w:pPr>
        <w:spacing w:line="360" w:lineRule="auto"/>
        <w:ind w:firstLine="426"/>
        <w:rPr>
          <w:rFonts w:hint="eastAsia" w:eastAsiaTheme="minorEastAsia"/>
          <w:sz w:val="24"/>
        </w:rPr>
      </w:pPr>
      <w:r>
        <w:rPr>
          <w:rFonts w:hint="eastAsia" w:eastAsiaTheme="minorEastAsia"/>
          <w:sz w:val="24"/>
        </w:rPr>
        <w:t>　　二是持续巩固拓展脱贫攻坚成果。落实统筹建立常态化防止返贫致贫机制，把常态化帮扶纳入乡村振兴战略统筹实施的部署，提出精准做好监测识别，健全常态化精准帮扶政策体系，分层分类帮扶欠发达地区等任务，确保不发生规模性返贫致贫。</w:t>
      </w:r>
    </w:p>
    <w:p w14:paraId="065E63BC">
      <w:pPr>
        <w:spacing w:line="360" w:lineRule="auto"/>
        <w:ind w:firstLine="426"/>
        <w:rPr>
          <w:rFonts w:hint="eastAsia" w:eastAsiaTheme="minorEastAsia"/>
          <w:sz w:val="24"/>
        </w:rPr>
      </w:pPr>
      <w:r>
        <w:rPr>
          <w:rFonts w:hint="eastAsia" w:eastAsiaTheme="minorEastAsia"/>
          <w:sz w:val="24"/>
        </w:rPr>
        <w:t>　　三是强化农业科技和装备支撑。顺应新一轮农业科技革命发展趋势，提出加强农业科技原始创新和关键核心技术攻关，提高农业科技创新能力和成果转化推广水平，加快推进种业振兴，创制应用先进适用农机装备，推进人工智能运用和智慧农业发展等任务。</w:t>
      </w:r>
    </w:p>
    <w:p w14:paraId="419379CC">
      <w:pPr>
        <w:spacing w:line="360" w:lineRule="auto"/>
        <w:ind w:firstLine="426"/>
        <w:rPr>
          <w:rFonts w:hint="eastAsia" w:eastAsiaTheme="minorEastAsia"/>
          <w:sz w:val="24"/>
        </w:rPr>
      </w:pPr>
      <w:r>
        <w:rPr>
          <w:rFonts w:hint="eastAsia" w:eastAsiaTheme="minorEastAsia"/>
          <w:sz w:val="24"/>
        </w:rPr>
        <w:t>　　四是拓宽农民增收致富渠道。着眼更好发挥产业、就业、创业带农增收作用，提出培育壮大乡村特色产业，推动农产品加工业转型升级，千方百计促进就业创业增收，多措并举扩大乡村消费，推进县域经济和城乡融合发展等任务。</w:t>
      </w:r>
    </w:p>
    <w:p w14:paraId="40D02914">
      <w:pPr>
        <w:spacing w:line="360" w:lineRule="auto"/>
        <w:ind w:firstLine="426"/>
        <w:rPr>
          <w:rFonts w:hint="eastAsia" w:eastAsiaTheme="minorEastAsia"/>
          <w:sz w:val="24"/>
        </w:rPr>
      </w:pPr>
      <w:r>
        <w:rPr>
          <w:rFonts w:hint="eastAsia" w:eastAsiaTheme="minorEastAsia"/>
          <w:sz w:val="24"/>
        </w:rPr>
        <w:t>　　五是加快农业发展全面绿色转型。践行绿水青山就是金山银山的理念，提出加强农业资源节约和生态保育，推行农业绿色生产方式，促进农业生态价值转化等任务。</w:t>
      </w:r>
    </w:p>
    <w:p w14:paraId="2068B9EA">
      <w:pPr>
        <w:spacing w:line="360" w:lineRule="auto"/>
        <w:ind w:firstLine="426"/>
        <w:rPr>
          <w:rFonts w:hint="eastAsia" w:eastAsiaTheme="minorEastAsia"/>
          <w:sz w:val="24"/>
        </w:rPr>
      </w:pPr>
      <w:r>
        <w:rPr>
          <w:rFonts w:hint="eastAsia" w:eastAsiaTheme="minorEastAsia"/>
          <w:sz w:val="24"/>
        </w:rPr>
        <w:t>　　六是推进宜居宜业和美乡村建设。顺应乡村人口结构变化和村庄格局演变分化趋势，着力提高农村基础设施完备度、公共服务便利度、人居环境舒适度，提出统筹优化村镇布局，加强农村基础设施建设和管护，持续整治提升农村人居环境，提升农村基本公共服务供给水平，加强乡村治理体系和能力建设等任务。</w:t>
      </w:r>
    </w:p>
    <w:p w14:paraId="441B45A8">
      <w:pPr>
        <w:spacing w:line="360" w:lineRule="auto"/>
        <w:ind w:firstLine="426"/>
        <w:rPr>
          <w:rFonts w:hint="eastAsia" w:eastAsiaTheme="minorEastAsia"/>
          <w:sz w:val="24"/>
        </w:rPr>
      </w:pPr>
      <w:r>
        <w:rPr>
          <w:rFonts w:hint="eastAsia" w:eastAsiaTheme="minorEastAsia"/>
          <w:sz w:val="24"/>
        </w:rPr>
        <w:t>　　七是提高强农惠农富农政策效能。坚持农业农村优先发展，提出完善农业农村投入机制，稳慎推进农村土地制度改革，健全现代农业经营服务体系，发展壮大乡村人才队伍等任务。</w:t>
      </w:r>
    </w:p>
    <w:p w14:paraId="5955D737">
      <w:pPr>
        <w:spacing w:line="360" w:lineRule="auto"/>
        <w:ind w:firstLine="426"/>
        <w:rPr>
          <w:rFonts w:hint="eastAsia" w:eastAsiaTheme="minorEastAsia"/>
          <w:sz w:val="24"/>
        </w:rPr>
      </w:pPr>
      <w:r>
        <w:rPr>
          <w:rFonts w:hint="eastAsia" w:eastAsiaTheme="minorEastAsia"/>
          <w:sz w:val="24"/>
        </w:rPr>
        <w:t>　　第三，《规划》明确了“十五五”时期加快农业农村现代化的保障措施。包括健全党领导农村工作体制机制，健全推动乡村全面振兴长效机制，强化实绩考核和监测评估等。</w:t>
      </w:r>
    </w:p>
    <w:p w14:paraId="30A13154">
      <w:pPr>
        <w:spacing w:line="360" w:lineRule="auto"/>
        <w:ind w:firstLine="426"/>
        <w:rPr>
          <w:rFonts w:hint="eastAsia" w:eastAsiaTheme="minorEastAsia"/>
          <w:sz w:val="24"/>
        </w:rPr>
      </w:pPr>
      <w:r>
        <w:rPr>
          <w:rFonts w:hint="eastAsia" w:eastAsiaTheme="minorEastAsia"/>
          <w:sz w:val="24"/>
        </w:rPr>
        <w:t>　　问：《规划》部署了哪些重要政策和任务举措，创新实施哪些工程项目？</w:t>
      </w:r>
    </w:p>
    <w:p w14:paraId="43795620">
      <w:pPr>
        <w:spacing w:line="360" w:lineRule="auto"/>
        <w:ind w:firstLine="426"/>
        <w:rPr>
          <w:rFonts w:hint="eastAsia" w:eastAsiaTheme="minorEastAsia"/>
          <w:sz w:val="24"/>
        </w:rPr>
      </w:pPr>
      <w:r>
        <w:rPr>
          <w:rFonts w:hint="eastAsia" w:eastAsiaTheme="minorEastAsia"/>
          <w:sz w:val="24"/>
        </w:rPr>
        <w:t>　　答：《规划》基于对“十五五”时期农业农村趋势变化的前瞻研判，准确把握阶段性要求，注重目标任务和政策举措的系统性整体性协同性，提出一批针对性、操作性强的重要政策举措，谋划一批支撑性、引领性强的重大工程行动计划。</w:t>
      </w:r>
    </w:p>
    <w:p w14:paraId="0B0C2FB8">
      <w:pPr>
        <w:spacing w:line="360" w:lineRule="auto"/>
        <w:ind w:firstLine="426"/>
        <w:rPr>
          <w:rFonts w:hint="eastAsia" w:eastAsiaTheme="minorEastAsia"/>
          <w:sz w:val="24"/>
        </w:rPr>
      </w:pPr>
      <w:r>
        <w:rPr>
          <w:rFonts w:hint="eastAsia" w:eastAsiaTheme="minorEastAsia"/>
          <w:sz w:val="24"/>
        </w:rPr>
        <w:t>　　稳产保供方面，在确保粮食等重要农产品稳定安全供给的基础上，更加注重农业质量效益提升，提出合理优化粮食品种结构和区域布局，增加营养、健康、风味农产品供给，更好满足特色改善型需求，促进农产品供需适配、结构优化、优质优价。同时，落实农产品既要保数量，也要保质量、保多样的要求，创新实施大食物开发工程，推动构建多元化食物供给体系，满足人民群众食物消费和营养健康需求。</w:t>
      </w:r>
    </w:p>
    <w:p w14:paraId="2B77CD63">
      <w:pPr>
        <w:spacing w:line="360" w:lineRule="auto"/>
        <w:ind w:firstLine="426"/>
        <w:rPr>
          <w:rFonts w:hint="eastAsia" w:eastAsiaTheme="minorEastAsia"/>
          <w:sz w:val="24"/>
        </w:rPr>
      </w:pPr>
      <w:r>
        <w:rPr>
          <w:rFonts w:hint="eastAsia" w:eastAsiaTheme="minorEastAsia"/>
          <w:sz w:val="24"/>
        </w:rPr>
        <w:t>　　科技创新方面，把因地制宜发展农业新质生产力摆在更加突出的战略位置，首次提出培育壮大农业领域新兴产业和未来产业，着力推动智能设计育种、新能源农机、农业低空经济、农业生物制造、新型食品等更多先导性产业规模化发展，有针对性谋划实施农机装备高质量发展、农业生物制造提升、“人工智能+农业”等行动，支撑农业新质生产力发展。同时，注重政策支持保障，创新提出落实鼓励科技创新税收政策；落实涉农首台（套）、首批次应用政策，鼓励地方探索实施涉农首版次应用政策等。</w:t>
      </w:r>
    </w:p>
    <w:p w14:paraId="587CF765">
      <w:pPr>
        <w:spacing w:line="360" w:lineRule="auto"/>
        <w:ind w:firstLine="426"/>
        <w:rPr>
          <w:rFonts w:hint="eastAsia" w:eastAsiaTheme="minorEastAsia"/>
          <w:sz w:val="24"/>
        </w:rPr>
      </w:pPr>
      <w:r>
        <w:rPr>
          <w:rFonts w:hint="eastAsia" w:eastAsiaTheme="minorEastAsia"/>
          <w:sz w:val="24"/>
        </w:rPr>
        <w:t>　　乡村建设方面，着力解决乡村建设欠账较多问题，创新提出实施农村现代生活条件补短板工程，推动农村基本具备现代生活条件，创造乡村优质生活空间。围绕基础设施，既注重增量提升，提出加强农村基础设施建设和管护；也注重存量盘活，提出盘活利用农村闲置基础设施，避免重复建设、造成浪费。围绕公共服务，回应农民群众呼声和关切，提出稳步提高医保基金在县乡村医疗卫生机构使用比例，逐步提高城乡居民基础养老金等政策举措，提升农村教育、医疗、养老等公共服务供给水平。围绕城乡融合发展，以县域为重要切入点，提出发展县域富民产业，加强县域基础设施建设和基本公共服务供给统筹，推行由常住地登记户口提供基本公共服务制度，稳步提高农民工参加城镇职工社会保险比例，推动更多城市将符合条件的未落户常住人口纳入公租房保障范围等政策举措。</w:t>
      </w:r>
    </w:p>
    <w:p w14:paraId="095BD304">
      <w:pPr>
        <w:spacing w:line="360" w:lineRule="auto"/>
        <w:ind w:firstLine="426"/>
        <w:rPr>
          <w:rFonts w:hint="eastAsia" w:eastAsiaTheme="minorEastAsia"/>
          <w:sz w:val="24"/>
        </w:rPr>
      </w:pPr>
      <w:r>
        <w:rPr>
          <w:rFonts w:hint="eastAsia" w:eastAsiaTheme="minorEastAsia"/>
          <w:sz w:val="24"/>
        </w:rPr>
        <w:t>　　要素保障方面，围绕多元投入，坚持农业农村优先发展，提出健全财政优先保障、金融重点倾斜、社会积极参与的多元投入格局，确保乡村振兴投入力度不断增强。围绕人才保障，坚持本土培养和外部引进相结合，对高素质农民、乡村产业振兴带头人、农业农村高技能人才、乡村治理人才等作出部署，推动各类人才服务乡村，增强农业农村发展活力。</w:t>
      </w:r>
    </w:p>
    <w:p w14:paraId="564BBAEE">
      <w:pPr>
        <w:spacing w:line="360" w:lineRule="auto"/>
        <w:ind w:firstLine="426"/>
        <w:rPr>
          <w:rFonts w:hint="eastAsia" w:eastAsiaTheme="minorEastAsia"/>
          <w:sz w:val="24"/>
        </w:rPr>
      </w:pPr>
      <w:r>
        <w:rPr>
          <w:rFonts w:hint="eastAsia" w:eastAsiaTheme="minorEastAsia"/>
          <w:sz w:val="24"/>
        </w:rPr>
        <w:t>　　问：如何抓好《规划》贯彻落实？</w:t>
      </w:r>
    </w:p>
    <w:p w14:paraId="7F633FBB">
      <w:pPr>
        <w:spacing w:line="360" w:lineRule="auto"/>
        <w:ind w:firstLine="426"/>
        <w:rPr>
          <w:rFonts w:hint="eastAsia" w:eastAsiaTheme="minorEastAsia"/>
          <w:sz w:val="24"/>
        </w:rPr>
      </w:pPr>
      <w:r>
        <w:rPr>
          <w:rFonts w:hint="eastAsia" w:eastAsiaTheme="minorEastAsia"/>
          <w:sz w:val="24"/>
        </w:rPr>
        <w:t>　　答：加快农业农村现代化是系统工程、战略任务，需要完善政策、健全机制、汇聚合力，把农业基础打得更牢，“三农”短板补得更实。下一步，我们将聚集资源要素、汇聚各方力量，重点抓好规划任务落实。</w:t>
      </w:r>
    </w:p>
    <w:p w14:paraId="7E80D637">
      <w:pPr>
        <w:spacing w:line="360" w:lineRule="auto"/>
        <w:ind w:firstLine="426"/>
        <w:rPr>
          <w:rFonts w:hint="eastAsia" w:eastAsiaTheme="minorEastAsia"/>
          <w:sz w:val="24"/>
        </w:rPr>
      </w:pPr>
      <w:r>
        <w:rPr>
          <w:rFonts w:hint="eastAsia" w:eastAsiaTheme="minorEastAsia"/>
          <w:sz w:val="24"/>
        </w:rPr>
        <w:t>　　一是压实责任促落实。把坚持和加强党的全面领导贯穿农业农村发展各方面全过程，为农业农村现代化建设提供根本保证。实行中央统筹、省负总责、市县乡抓落实的农村工作领导体制，坚持五级书记抓乡村振兴，强化乡村振兴责任制落实。选优配强乡镇领导班子，优化村“两委”班子特别是带头人队伍，培养储备后备力量。</w:t>
      </w:r>
    </w:p>
    <w:p w14:paraId="33860CCC">
      <w:pPr>
        <w:spacing w:line="360" w:lineRule="auto"/>
        <w:ind w:firstLine="426"/>
        <w:rPr>
          <w:rFonts w:hint="eastAsia" w:eastAsiaTheme="minorEastAsia"/>
          <w:sz w:val="24"/>
        </w:rPr>
      </w:pPr>
      <w:r>
        <w:rPr>
          <w:rFonts w:hint="eastAsia" w:eastAsiaTheme="minorEastAsia"/>
          <w:sz w:val="24"/>
        </w:rPr>
        <w:t>　　二是健全机制促落实。“千万工程”蕴含的发展理念、工作机制、推进办法具有普遍指导意义和旺盛实践活力。要深入学习运用“千万工程”经验，分类有序、片区化推进乡村振兴，因地制宜健全政策体系、制度体系和工作机制，发挥国家乡村振兴示范县引领作用，健全社会力量服务乡村振兴长效机制。</w:t>
      </w:r>
    </w:p>
    <w:p w14:paraId="71F13152">
      <w:pPr>
        <w:spacing w:line="360" w:lineRule="auto"/>
        <w:ind w:firstLine="426"/>
        <w:rPr>
          <w:rFonts w:hint="eastAsia" w:eastAsiaTheme="minorEastAsia"/>
          <w:sz w:val="24"/>
        </w:rPr>
      </w:pPr>
      <w:r>
        <w:rPr>
          <w:rFonts w:hint="eastAsia" w:eastAsiaTheme="minorEastAsia"/>
          <w:sz w:val="24"/>
        </w:rPr>
        <w:t>　　三是强化考核促落实。加强省级党委和政府推进乡村振兴战略实绩考核，完善考核方式，提高考核针对性和科学性，切实发挥考核“指挥棒”作用。同时，强化规划实施年度监测分析、中期评估和总结评估全过程管理，跟踪督促规划任务落实。</w:t>
      </w:r>
    </w:p>
    <w:p w14:paraId="1930E9BD">
      <w:pPr>
        <w:spacing w:line="360" w:lineRule="auto"/>
        <w:ind w:firstLine="426"/>
        <w:jc w:val="right"/>
        <w:rPr>
          <w:rFonts w:eastAsia="黑体"/>
          <w:b/>
          <w:bCs/>
          <w:sz w:val="32"/>
          <w:szCs w:val="32"/>
        </w:rPr>
      </w:pPr>
      <w:r>
        <w:rPr>
          <w:rStyle w:val="96"/>
          <w:rFonts w:eastAsiaTheme="minorEastAsia"/>
          <w:szCs w:val="21"/>
        </w:rPr>
        <w:t>转摘自</w:t>
      </w:r>
      <w:r>
        <w:rPr>
          <w:rStyle w:val="96"/>
          <w:rFonts w:hint="eastAsia" w:eastAsiaTheme="minorEastAsia"/>
          <w:szCs w:val="21"/>
        </w:rPr>
        <w:t>全国水产技术推广总站</w:t>
      </w:r>
    </w:p>
    <w:p w14:paraId="0483C045">
      <w:pPr>
        <w:spacing w:line="360" w:lineRule="auto"/>
        <w:jc w:val="center"/>
        <w:outlineLvl w:val="1"/>
        <w:rPr>
          <w:rFonts w:eastAsia="黑体"/>
          <w:b/>
          <w:bCs/>
          <w:sz w:val="32"/>
          <w:szCs w:val="32"/>
        </w:rPr>
      </w:pPr>
      <w:bookmarkStart w:id="3" w:name="_Toc230941920"/>
      <w:r>
        <w:rPr>
          <w:rFonts w:hint="eastAsia" w:eastAsia="黑体"/>
          <w:b/>
          <w:bCs/>
          <w:sz w:val="32"/>
          <w:szCs w:val="32"/>
        </w:rPr>
        <w:t>农业农村部发布公告 修订《饲料原料目录》</w:t>
      </w:r>
      <w:bookmarkEnd w:id="3"/>
    </w:p>
    <w:p w14:paraId="4D73CAEB">
      <w:pPr>
        <w:spacing w:line="360" w:lineRule="auto"/>
        <w:ind w:firstLine="480" w:firstLineChars="200"/>
        <w:rPr>
          <w:rFonts w:eastAsiaTheme="minorEastAsia"/>
          <w:sz w:val="24"/>
        </w:rPr>
      </w:pPr>
      <w:r>
        <w:rPr>
          <w:rFonts w:hint="eastAsia" w:eastAsiaTheme="minorEastAsia"/>
          <w:sz w:val="24"/>
          <w:lang w:val="en-US" w:eastAsia="zh-CN"/>
        </w:rPr>
        <w:t>为深入贯彻为丰富饲料原料来源，保障饲料产品质量安全，根据《饲料和饲料添加剂管理条例》，农业农村部对《饲料原料目录》（以下简称《目录》）进行了修订。现予公布并就有关事项公告如下</w:t>
      </w:r>
      <w:r>
        <w:rPr>
          <w:rFonts w:hint="eastAsia" w:eastAsiaTheme="minorEastAsia"/>
          <w:sz w:val="24"/>
        </w:rPr>
        <w:t>。</w:t>
      </w:r>
    </w:p>
    <w:p w14:paraId="29BDC801">
      <w:pPr>
        <w:numPr>
          <w:ilvl w:val="0"/>
          <w:numId w:val="1"/>
        </w:numPr>
        <w:spacing w:line="360" w:lineRule="auto"/>
        <w:ind w:firstLine="480" w:firstLineChars="200"/>
        <w:rPr>
          <w:rFonts w:hint="eastAsia" w:eastAsiaTheme="minorEastAsia"/>
          <w:sz w:val="24"/>
          <w:lang w:val="en-US" w:eastAsia="zh-CN"/>
        </w:rPr>
      </w:pPr>
      <w:r>
        <w:rPr>
          <w:rFonts w:hint="eastAsia" w:eastAsiaTheme="minorEastAsia"/>
          <w:sz w:val="24"/>
          <w:lang w:val="en-US" w:eastAsia="zh-CN"/>
        </w:rPr>
        <w:t>第一部分通则</w:t>
      </w:r>
    </w:p>
    <w:p w14:paraId="06369C22">
      <w:pPr>
        <w:numPr>
          <w:ilvl w:val="0"/>
          <w:numId w:val="0"/>
        </w:numPr>
        <w:spacing w:line="360" w:lineRule="auto"/>
        <w:ind w:firstLine="480" w:firstLineChars="200"/>
        <w:rPr>
          <w:rFonts w:hint="eastAsia" w:eastAsiaTheme="minorEastAsia"/>
          <w:sz w:val="24"/>
          <w:lang w:val="en-US" w:eastAsia="zh-CN"/>
        </w:rPr>
      </w:pPr>
      <w:r>
        <w:rPr>
          <w:rFonts w:hint="eastAsia" w:eastAsiaTheme="minorEastAsia"/>
          <w:sz w:val="24"/>
          <w:lang w:val="en-US" w:eastAsia="zh-CN"/>
        </w:rPr>
        <w:t>增加第九条关于发酵饲料管理要求，修订第二条部分表述，原第九条至第十二条顺次调整序号。</w:t>
      </w:r>
    </w:p>
    <w:p w14:paraId="00FF3AED">
      <w:pPr>
        <w:numPr>
          <w:ilvl w:val="0"/>
          <w:numId w:val="1"/>
        </w:numPr>
        <w:spacing w:line="360" w:lineRule="auto"/>
        <w:ind w:left="0" w:leftChars="0" w:firstLine="480" w:firstLineChars="200"/>
        <w:rPr>
          <w:rFonts w:hint="eastAsia" w:eastAsiaTheme="minorEastAsia"/>
          <w:sz w:val="24"/>
        </w:rPr>
      </w:pPr>
      <w:r>
        <w:rPr>
          <w:rFonts w:hint="eastAsia" w:eastAsiaTheme="minorEastAsia"/>
          <w:sz w:val="24"/>
          <w:lang w:val="en-US" w:eastAsia="zh-CN"/>
        </w:rPr>
        <w:t>第三部分饲料原料列表</w:t>
      </w:r>
    </w:p>
    <w:p w14:paraId="34A80228">
      <w:pPr>
        <w:numPr>
          <w:ilvl w:val="0"/>
          <w:numId w:val="0"/>
        </w:numPr>
        <w:spacing w:line="360" w:lineRule="auto"/>
        <w:ind w:firstLine="480" w:firstLineChars="200"/>
        <w:rPr>
          <w:rFonts w:hint="eastAsia" w:eastAsiaTheme="minorEastAsia"/>
          <w:sz w:val="24"/>
          <w:lang w:val="en-US" w:eastAsia="zh-CN"/>
        </w:rPr>
      </w:pPr>
      <w:r>
        <w:rPr>
          <w:rFonts w:hint="eastAsia" w:eastAsiaTheme="minorEastAsia"/>
          <w:sz w:val="24"/>
          <w:lang w:val="en-US" w:eastAsia="zh-CN"/>
        </w:rPr>
        <w:t>增补“1.2.25大米次米”等83种饲料原料和“2.24芥菜籽及其加工产品”等7个类别；删除“3.1.2去皮扁豆”等10种无实际使用的饲料原料；删除“4.12食用瓜类及其加工产品”1个类别；修订“1.1.1大麦”等173种饲料原料和“2.26其它”等4个类别。</w:t>
      </w:r>
    </w:p>
    <w:p w14:paraId="49CC8CA4">
      <w:pPr>
        <w:numPr>
          <w:ilvl w:val="0"/>
          <w:numId w:val="1"/>
        </w:numPr>
        <w:spacing w:line="360" w:lineRule="auto"/>
        <w:ind w:left="0" w:leftChars="0" w:firstLine="480" w:firstLineChars="200"/>
        <w:rPr>
          <w:rFonts w:hint="eastAsia" w:eastAsiaTheme="minorEastAsia"/>
          <w:sz w:val="24"/>
          <w:lang w:val="en-US" w:eastAsia="zh-CN"/>
        </w:rPr>
      </w:pPr>
      <w:r>
        <w:rPr>
          <w:rFonts w:hint="eastAsia" w:eastAsiaTheme="minorEastAsia"/>
          <w:sz w:val="24"/>
          <w:lang w:val="en-US" w:eastAsia="zh-CN"/>
        </w:rPr>
        <w:t>第四部分单一饲料品种</w:t>
      </w:r>
    </w:p>
    <w:p w14:paraId="3CEA2100">
      <w:pPr>
        <w:numPr>
          <w:ilvl w:val="0"/>
          <w:numId w:val="0"/>
        </w:numPr>
        <w:spacing w:line="360" w:lineRule="auto"/>
        <w:ind w:firstLine="480" w:firstLineChars="200"/>
        <w:rPr>
          <w:rFonts w:hint="eastAsia" w:eastAsiaTheme="minorEastAsia"/>
          <w:sz w:val="24"/>
          <w:lang w:val="en-US" w:eastAsia="zh-CN"/>
        </w:rPr>
      </w:pPr>
      <w:r>
        <w:rPr>
          <w:rFonts w:hint="eastAsia" w:eastAsiaTheme="minorEastAsia"/>
          <w:sz w:val="24"/>
          <w:lang w:val="en-US" w:eastAsia="zh-CN"/>
        </w:rPr>
        <w:t>增加“2.3.20大豆蛋白（粉）”等17种单一饲料，删除“10.4.2白鱼粉”等3种单一饲料，修订“1.5.3____干酒精糟[____DDG]”等8种单一饲料。本公告发布之前已经合规生产的饲料产品，但已不符合本《目录》要求的饲料原料品种，在其产品保质期内可继续销售。原农业部2014年第2133号公告和2015年第2249号公告同时废止。</w:t>
      </w:r>
    </w:p>
    <w:p w14:paraId="3FF7AC9A">
      <w:pPr>
        <w:numPr>
          <w:ilvl w:val="0"/>
          <w:numId w:val="0"/>
        </w:numPr>
        <w:spacing w:line="360" w:lineRule="auto"/>
        <w:ind w:firstLine="480" w:firstLineChars="200"/>
        <w:rPr>
          <w:rFonts w:hint="eastAsia" w:eastAsiaTheme="minorEastAsia"/>
          <w:sz w:val="24"/>
          <w:lang w:val="en-US" w:eastAsia="zh-CN"/>
        </w:rPr>
      </w:pPr>
      <w:r>
        <w:rPr>
          <w:rFonts w:hint="eastAsia" w:eastAsiaTheme="minorEastAsia"/>
          <w:sz w:val="24"/>
          <w:lang w:val="en-US" w:eastAsia="zh-CN"/>
        </w:rPr>
        <w:t>附件地址：</w:t>
      </w:r>
    </w:p>
    <w:p w14:paraId="7A8D3E2E">
      <w:pPr>
        <w:numPr>
          <w:ilvl w:val="0"/>
          <w:numId w:val="0"/>
        </w:numPr>
        <w:spacing w:line="360" w:lineRule="auto"/>
        <w:ind w:firstLine="480" w:firstLineChars="200"/>
        <w:rPr>
          <w:rStyle w:val="96"/>
          <w:rFonts w:eastAsiaTheme="minorEastAsia"/>
          <w:szCs w:val="21"/>
        </w:rPr>
      </w:pPr>
      <w:r>
        <w:rPr>
          <w:rFonts w:ascii="宋体" w:hAnsi="宋体" w:eastAsia="宋体" w:cs="宋体"/>
          <w:sz w:val="24"/>
          <w:szCs w:val="24"/>
        </w:rPr>
        <w:fldChar w:fldCharType="begin"/>
      </w:r>
      <w:r>
        <w:rPr>
          <w:rFonts w:ascii="宋体" w:hAnsi="宋体" w:eastAsia="宋体" w:cs="宋体"/>
          <w:sz w:val="24"/>
          <w:szCs w:val="24"/>
        </w:rPr>
        <w:instrText xml:space="preserve"> HYPERLINK "https://www.moa.gov.cn/govpublic/xmsyj/202606/t20260611_6484938.htm" </w:instrText>
      </w:r>
      <w:r>
        <w:rPr>
          <w:rFonts w:ascii="宋体" w:hAnsi="宋体" w:eastAsia="宋体" w:cs="宋体"/>
          <w:sz w:val="24"/>
          <w:szCs w:val="24"/>
        </w:rPr>
        <w:fldChar w:fldCharType="separate"/>
      </w:r>
      <w:r>
        <w:rPr>
          <w:rStyle w:val="24"/>
          <w:rFonts w:ascii="宋体" w:hAnsi="宋体" w:eastAsia="宋体" w:cs="宋体"/>
          <w:sz w:val="24"/>
          <w:szCs w:val="24"/>
        </w:rPr>
        <w:t>中华人民共和国农业农村部公告 第1028号</w:t>
      </w:r>
      <w:r>
        <w:rPr>
          <w:rFonts w:ascii="宋体" w:hAnsi="宋体" w:eastAsia="宋体" w:cs="宋体"/>
          <w:sz w:val="24"/>
          <w:szCs w:val="24"/>
        </w:rPr>
        <w:fldChar w:fldCharType="end"/>
      </w:r>
    </w:p>
    <w:p w14:paraId="7D00BF29">
      <w:pPr>
        <w:spacing w:line="360" w:lineRule="auto"/>
        <w:ind w:firstLine="426"/>
        <w:jc w:val="right"/>
        <w:rPr>
          <w:rStyle w:val="96"/>
          <w:rFonts w:eastAsiaTheme="minorEastAsia"/>
          <w:szCs w:val="21"/>
        </w:rPr>
      </w:pPr>
      <w:r>
        <w:rPr>
          <w:rStyle w:val="96"/>
          <w:rFonts w:eastAsiaTheme="minorEastAsia"/>
          <w:szCs w:val="21"/>
        </w:rPr>
        <w:t>转摘自</w:t>
      </w:r>
      <w:r>
        <w:rPr>
          <w:rStyle w:val="96"/>
          <w:rFonts w:hint="eastAsia" w:eastAsiaTheme="minorEastAsia"/>
          <w:szCs w:val="21"/>
        </w:rPr>
        <w:t>农业农村部</w:t>
      </w:r>
    </w:p>
    <w:p w14:paraId="325F661D">
      <w:pPr>
        <w:jc w:val="center"/>
        <w:outlineLvl w:val="1"/>
        <w:rPr>
          <w:rFonts w:hint="eastAsia" w:eastAsia="黑体"/>
          <w:b/>
          <w:bCs/>
          <w:sz w:val="32"/>
          <w:szCs w:val="32"/>
        </w:rPr>
      </w:pPr>
      <w:bookmarkStart w:id="4" w:name="_Toc230941921"/>
      <w:r>
        <w:rPr>
          <w:rFonts w:hint="eastAsia" w:eastAsia="黑体"/>
          <w:b/>
          <w:bCs/>
          <w:sz w:val="32"/>
          <w:szCs w:val="32"/>
        </w:rPr>
        <w:t>2026年全国水生生物同步增殖放流各类水生生物苗种超5亿尾</w:t>
      </w:r>
    </w:p>
    <w:bookmarkEnd w:id="4"/>
    <w:p w14:paraId="329A6EFA">
      <w:pPr>
        <w:spacing w:line="360" w:lineRule="auto"/>
        <w:ind w:firstLine="480" w:firstLineChars="200"/>
        <w:rPr>
          <w:rFonts w:hint="eastAsia"/>
          <w:sz w:val="24"/>
        </w:rPr>
      </w:pPr>
      <w:r>
        <w:rPr>
          <w:rFonts w:hint="eastAsia"/>
          <w:sz w:val="24"/>
        </w:rPr>
        <w:t>6月5日~6月9日，农业农村部组织开展2026年全国水生生物同步增殖放流活动。据不完全统计，活动期间，全国31个省（自治区、直辖市）、2个计划单列市和新疆生产建设兵团共举办200多场放流活动，放流各类水生生物苗种超5亿尾，其中海水经济物种2.8亿尾、淡水广布型经济物种1.7亿尾、珍贵濒危和淡水区域性物种0.5亿尾。至此，农业农村部已连续12年组织开展全国水生生物同步增殖放流活动。</w:t>
      </w:r>
    </w:p>
    <w:p w14:paraId="4449ADC3">
      <w:pPr>
        <w:spacing w:line="360" w:lineRule="auto"/>
        <w:ind w:firstLine="480" w:firstLineChars="200"/>
        <w:rPr>
          <w:rFonts w:hint="eastAsia"/>
          <w:sz w:val="24"/>
        </w:rPr>
      </w:pPr>
      <w:r>
        <w:rPr>
          <w:rFonts w:hint="eastAsia"/>
          <w:sz w:val="24"/>
          <w:lang w:val="en-US" w:eastAsia="zh-CN"/>
        </w:rPr>
        <w:t>增殖放流是全球公认的水生生物资源养护和水域生态修复的通用手段，更是维护生物多样性的重要举措。“十四五”期间，全国共放流各类水生生物苗种1500多亿尾，经济社会效益显著。据监测，每年渤海捕捞的中国对虾90%以上来自增殖放流，东海捕捞的大黄鱼30%以上为人工增殖资源；长江流域放流的中华鲟，超过12%已进入海洋，时隔20余年扁吻鱼在新疆博斯腾湖再次形成种群。“十五五”期间，各级渔业渔政主管部门将落实党中央、国务院决策部署，持续保护水生生物资源，修复水域生态环境，以渔业资源高水平保护支撑渔业产业高质量发展，不断厚植渔业绿色发展底色。一是立足持续性，发挥好增殖放流生态、经济、社会效益，促进渔业增效渔民增收。二是增强科学性，因地制宜，根据渔情科学开展增殖放流，保证增殖放流质量。三是强化规范性，加强放流苗种供应体系建设，引导社会公众定点规范放流，确保增殖放流有序合规。</w:t>
      </w:r>
    </w:p>
    <w:p w14:paraId="62164515">
      <w:pPr>
        <w:spacing w:line="360" w:lineRule="auto"/>
        <w:ind w:firstLine="426"/>
        <w:jc w:val="right"/>
        <w:rPr>
          <w:rStyle w:val="96"/>
          <w:rFonts w:eastAsiaTheme="minorEastAsia"/>
          <w:szCs w:val="21"/>
        </w:rPr>
      </w:pPr>
      <w:r>
        <w:rPr>
          <w:rStyle w:val="96"/>
          <w:rFonts w:eastAsiaTheme="minorEastAsia"/>
          <w:szCs w:val="21"/>
        </w:rPr>
        <w:t>转摘自</w:t>
      </w:r>
      <w:r>
        <w:rPr>
          <w:rStyle w:val="96"/>
          <w:rFonts w:hint="eastAsia" w:eastAsiaTheme="minorEastAsia"/>
          <w:szCs w:val="21"/>
        </w:rPr>
        <w:t>农业农村部渔业渔政管理局</w:t>
      </w:r>
    </w:p>
    <w:p w14:paraId="6227E485">
      <w:pPr>
        <w:jc w:val="center"/>
        <w:outlineLvl w:val="1"/>
        <w:rPr>
          <w:rFonts w:hint="eastAsia" w:eastAsia="黑体"/>
          <w:b/>
          <w:bCs/>
          <w:sz w:val="32"/>
          <w:szCs w:val="32"/>
        </w:rPr>
      </w:pPr>
      <w:bookmarkStart w:id="5" w:name="_Toc230941922"/>
      <w:r>
        <w:rPr>
          <w:rFonts w:hint="eastAsia" w:eastAsia="黑体"/>
          <w:b/>
          <w:bCs/>
          <w:sz w:val="32"/>
          <w:szCs w:val="32"/>
        </w:rPr>
        <w:t>全国水产技术推广总站关于印发《2026年国家水生动物疫病监测计划实施方案》的通知</w:t>
      </w:r>
    </w:p>
    <w:bookmarkEnd w:id="5"/>
    <w:p w14:paraId="21418A45">
      <w:pPr>
        <w:spacing w:line="360" w:lineRule="auto"/>
        <w:ind w:firstLine="426"/>
        <w:rPr>
          <w:rFonts w:hint="eastAsia" w:eastAsiaTheme="minorEastAsia"/>
          <w:sz w:val="24"/>
        </w:rPr>
      </w:pPr>
      <w:r>
        <w:rPr>
          <w:rFonts w:hint="eastAsia" w:eastAsiaTheme="minorEastAsia"/>
          <w:sz w:val="24"/>
          <w:lang w:val="en-US" w:eastAsia="zh-CN"/>
        </w:rPr>
        <w:t>各省、自治区、直辖市、计划单列市、新疆生产建设兵团水生动物疫病预防控制机构（水产技术推广机构），各有关单位:</w:t>
      </w:r>
    </w:p>
    <w:p w14:paraId="27E6CBE7">
      <w:pPr>
        <w:spacing w:line="360" w:lineRule="auto"/>
        <w:ind w:firstLine="426"/>
        <w:rPr>
          <w:rFonts w:hint="eastAsia" w:eastAsiaTheme="minorEastAsia"/>
          <w:sz w:val="24"/>
          <w:lang w:val="en-US" w:eastAsia="zh-CN"/>
        </w:rPr>
      </w:pPr>
      <w:r>
        <w:rPr>
          <w:rFonts w:hint="eastAsia" w:eastAsiaTheme="minorEastAsia"/>
          <w:sz w:val="24"/>
          <w:lang w:val="en-US" w:eastAsia="zh-CN"/>
        </w:rPr>
        <w:t>　　为贯彻落实《农业农村部关于印发〈2026年国家产地水产品兽药残留监控计划〉和〈2026年国家水生动物疫病监测计划〉的通知》（农渔发〔2026〕8号）部署安排，我站制定了《2026年国家水生动物疫病监测计划实施方案》，现印发给你们（见附件），请遵照执行。</w:t>
      </w:r>
    </w:p>
    <w:p w14:paraId="4AB34B0B">
      <w:pPr>
        <w:numPr>
          <w:ilvl w:val="0"/>
          <w:numId w:val="0"/>
        </w:numPr>
        <w:spacing w:line="360" w:lineRule="auto"/>
        <w:ind w:firstLine="480" w:firstLineChars="200"/>
        <w:rPr>
          <w:rFonts w:hint="eastAsia" w:eastAsiaTheme="minorEastAsia"/>
          <w:sz w:val="24"/>
          <w:lang w:val="en-US" w:eastAsia="zh-CN"/>
        </w:rPr>
      </w:pPr>
      <w:r>
        <w:rPr>
          <w:rFonts w:hint="eastAsia" w:eastAsiaTheme="minorEastAsia"/>
          <w:sz w:val="24"/>
          <w:lang w:val="en-US" w:eastAsia="zh-CN"/>
        </w:rPr>
        <w:t>附件地址：</w:t>
      </w:r>
    </w:p>
    <w:p w14:paraId="70E9AC0A">
      <w:pPr>
        <w:spacing w:line="360" w:lineRule="auto"/>
        <w:ind w:firstLine="426"/>
        <w:rPr>
          <w:rFonts w:hint="eastAsia" w:ascii="宋体" w:hAnsi="宋体" w:eastAsia="宋体" w:cs="宋体"/>
          <w:sz w:val="24"/>
          <w:szCs w:val="24"/>
          <w:lang w:val="en-US" w:eastAsia="zh-CN"/>
        </w:rPr>
      </w:pPr>
      <w:r>
        <w:rPr>
          <w:rFonts w:ascii="宋体" w:hAnsi="宋体" w:eastAsia="宋体" w:cs="宋体"/>
          <w:sz w:val="24"/>
          <w:szCs w:val="24"/>
        </w:rPr>
        <w:fldChar w:fldCharType="begin"/>
      </w:r>
      <w:r>
        <w:rPr>
          <w:rFonts w:ascii="宋体" w:hAnsi="宋体" w:eastAsia="宋体" w:cs="宋体"/>
          <w:sz w:val="24"/>
          <w:szCs w:val="24"/>
        </w:rPr>
        <w:instrText xml:space="preserve"> HYPERLINK "http://www.nftec.agri.cn/tzgg/202606/t20260608_8842512.htm" </w:instrText>
      </w:r>
      <w:r>
        <w:rPr>
          <w:rFonts w:ascii="宋体" w:hAnsi="宋体" w:eastAsia="宋体" w:cs="宋体"/>
          <w:sz w:val="24"/>
          <w:szCs w:val="24"/>
        </w:rPr>
        <w:fldChar w:fldCharType="separate"/>
      </w:r>
      <w:r>
        <w:rPr>
          <w:rStyle w:val="24"/>
          <w:rFonts w:ascii="宋体" w:hAnsi="宋体" w:eastAsia="宋体" w:cs="宋体"/>
          <w:sz w:val="24"/>
          <w:szCs w:val="24"/>
        </w:rPr>
        <w:t>全国水产技术推广总站、中国水产学会</w:t>
      </w:r>
      <w:r>
        <w:rPr>
          <w:rFonts w:ascii="宋体" w:hAnsi="宋体" w:eastAsia="宋体" w:cs="宋体"/>
          <w:sz w:val="24"/>
          <w:szCs w:val="24"/>
        </w:rPr>
        <w:fldChar w:fldCharType="end"/>
      </w:r>
      <w:r>
        <w:rPr>
          <w:rFonts w:hint="eastAsia" w:ascii="宋体" w:hAnsi="宋体" w:cs="宋体"/>
          <w:sz w:val="24"/>
          <w:szCs w:val="24"/>
          <w:lang w:val="en-US" w:eastAsia="zh-CN"/>
        </w:rPr>
        <w:t xml:space="preserve"> </w:t>
      </w:r>
    </w:p>
    <w:p w14:paraId="67F17A28">
      <w:pPr>
        <w:spacing w:line="360" w:lineRule="auto"/>
        <w:ind w:firstLine="426"/>
        <w:jc w:val="right"/>
        <w:rPr>
          <w:rFonts w:hint="default" w:eastAsiaTheme="minorEastAsia"/>
          <w:b/>
          <w:bCs/>
          <w:sz w:val="32"/>
          <w:szCs w:val="32"/>
          <w:lang w:val="en-US" w:eastAsia="zh-CN"/>
        </w:rPr>
      </w:pPr>
      <w:r>
        <w:rPr>
          <w:rStyle w:val="96"/>
          <w:rFonts w:eastAsiaTheme="minorEastAsia"/>
          <w:szCs w:val="21"/>
        </w:rPr>
        <w:t>转摘</w:t>
      </w:r>
      <w:r>
        <w:rPr>
          <w:rStyle w:val="96"/>
          <w:rFonts w:hint="eastAsia" w:eastAsiaTheme="minorEastAsia"/>
          <w:szCs w:val="21"/>
        </w:rPr>
        <w:t>自</w:t>
      </w:r>
      <w:r>
        <w:rPr>
          <w:rStyle w:val="96"/>
          <w:rFonts w:hint="eastAsia" w:eastAsiaTheme="minorEastAsia"/>
          <w:szCs w:val="21"/>
          <w:lang w:val="en-US" w:eastAsia="zh-CN"/>
        </w:rPr>
        <w:t>全国水产技术推广总站</w:t>
      </w:r>
    </w:p>
    <w:bookmarkEnd w:id="1"/>
    <w:p w14:paraId="326B243B">
      <w:pPr>
        <w:spacing w:line="276" w:lineRule="auto"/>
        <w:jc w:val="left"/>
        <w:outlineLvl w:val="0"/>
        <w:rPr>
          <w:rStyle w:val="96"/>
          <w:rFonts w:eastAsia="黑体"/>
          <w:b/>
          <w:bCs/>
          <w:sz w:val="32"/>
          <w:szCs w:val="32"/>
          <w:bdr w:val="single" w:color="auto" w:sz="4" w:space="0"/>
        </w:rPr>
      </w:pPr>
    </w:p>
    <w:p w14:paraId="5359B0F7">
      <w:pPr>
        <w:spacing w:line="276" w:lineRule="auto"/>
        <w:jc w:val="left"/>
        <w:outlineLvl w:val="0"/>
        <w:rPr>
          <w:rStyle w:val="96"/>
          <w:rFonts w:eastAsia="黑体"/>
          <w:b/>
          <w:bCs/>
          <w:sz w:val="32"/>
          <w:szCs w:val="32"/>
          <w:bdr w:val="single" w:color="auto" w:sz="4" w:space="0"/>
        </w:rPr>
      </w:pPr>
      <w:bookmarkStart w:id="6" w:name="_Toc230941925"/>
      <w:r>
        <w:rPr>
          <w:rStyle w:val="96"/>
          <w:rFonts w:eastAsia="黑体"/>
          <w:b/>
          <w:bCs/>
          <w:sz w:val="32"/>
          <w:szCs w:val="32"/>
          <w:bdr w:val="single" w:color="auto" w:sz="4" w:space="0"/>
        </w:rPr>
        <w:t>行业资讯</w:t>
      </w:r>
      <w:bookmarkEnd w:id="6"/>
    </w:p>
    <w:p w14:paraId="32E6E326">
      <w:pPr>
        <w:spacing w:line="360" w:lineRule="auto"/>
        <w:jc w:val="center"/>
        <w:outlineLvl w:val="1"/>
        <w:rPr>
          <w:rFonts w:eastAsia="黑体"/>
          <w:b/>
          <w:bCs/>
          <w:sz w:val="32"/>
          <w:szCs w:val="32"/>
        </w:rPr>
      </w:pPr>
      <w:bookmarkStart w:id="7" w:name="_Toc230941926"/>
      <w:r>
        <w:rPr>
          <w:rFonts w:hint="eastAsia" w:eastAsia="黑体"/>
          <w:b/>
          <w:bCs/>
          <w:sz w:val="32"/>
          <w:szCs w:val="32"/>
        </w:rPr>
        <w:t>宁夏盐池：科技赋能破壁垒 人才助力盐碱地 “养出新经济”</w:t>
      </w:r>
      <w:bookmarkEnd w:id="7"/>
    </w:p>
    <w:p w14:paraId="5005FF06">
      <w:pPr>
        <w:spacing w:line="360" w:lineRule="auto"/>
        <w:ind w:firstLine="420"/>
        <w:rPr>
          <w:rFonts w:hint="eastAsia" w:eastAsiaTheme="minorEastAsia"/>
          <w:sz w:val="24"/>
          <w:lang w:val="en-US" w:eastAsia="zh-CN"/>
        </w:rPr>
      </w:pPr>
      <w:r>
        <w:rPr>
          <w:rFonts w:hint="eastAsia" w:eastAsiaTheme="minorEastAsia"/>
          <w:sz w:val="24"/>
          <w:lang w:val="en-US" w:eastAsia="zh-CN"/>
        </w:rPr>
        <w:t>近日，走进宁夏回族自治区吴忠市盐池县三文鱼养殖基地，5000平方米的养殖区域内，40个圆形养殖水池波光粼粼，15000多尾大西洋鲑在水中欢快游弋。水池旁，青岛越洋水产科技有限公司的水产专家正手把手指导本地技术员开展水质监测等养殖实操工作。“以前这地啥也种不好，现在能养出三文鱼，想都不敢想。”基地务工村民的由衷感慨，道出了当地产业发展的崭新变化。</w:t>
      </w:r>
    </w:p>
    <w:p w14:paraId="33A6C316">
      <w:pPr>
        <w:spacing w:line="360" w:lineRule="auto"/>
        <w:ind w:firstLine="420"/>
        <w:rPr>
          <w:rFonts w:hint="eastAsia" w:eastAsiaTheme="minorEastAsia"/>
          <w:sz w:val="24"/>
          <w:lang w:val="en-US" w:eastAsia="zh-CN"/>
        </w:rPr>
      </w:pPr>
      <w:r>
        <w:rPr>
          <w:rFonts w:hint="eastAsia" w:eastAsiaTheme="minorEastAsia"/>
          <w:sz w:val="24"/>
          <w:lang w:val="en-US" w:eastAsia="zh-CN"/>
        </w:rPr>
        <w:t>据了解，盐池县拥有盐碱地1.2万亩，受土壤含盐量高、土地利用率低等因素制约，当地产业发展长期面临瓶颈，而破解这一发展困局的核心关键，在于引才引智、科技赋能。为盘活盐碱地资源、培育特色新兴产业，盐池县落地实施“盐碱水环境下三文鱼繁育实用新型人才培养项目”，柔性引进青岛越洋水产科技有限公司王小洁专家团队入驻开展技术攻关。团队针对盐碱水环境下三文鱼繁育条件、理化及生物生态影响因素开展系统性研究，成功攻克技术难题，实现三文鱼在盐池县本土化繁育养殖。项目落地以来，当地已开展2期三文鱼繁育、养殖技术专题培训班，累计培训30人次，定向培育8名本土专业技术人才。目前，基地年产成鱼10余吨，预计年产值可达400万元以上，直接带动周边70余户农民就业，养殖成品将重点供应北京、上海等一线城市市场。</w:t>
      </w:r>
    </w:p>
    <w:p w14:paraId="43204FA0">
      <w:pPr>
        <w:spacing w:line="360" w:lineRule="auto"/>
        <w:ind w:firstLine="420"/>
        <w:rPr>
          <w:rFonts w:hint="eastAsia" w:eastAsiaTheme="minorEastAsia"/>
          <w:sz w:val="24"/>
          <w:lang w:val="en-US" w:eastAsia="zh-CN"/>
        </w:rPr>
      </w:pPr>
      <w:r>
        <w:rPr>
          <w:rFonts w:hint="eastAsia" w:eastAsiaTheme="minorEastAsia"/>
          <w:sz w:val="24"/>
          <w:lang w:val="en-US" w:eastAsia="zh-CN"/>
        </w:rPr>
        <w:t>盐碱地三文鱼繁育人才培养项目，是盐池县以人才赋能产业发展的生动缩影。盐池县委组织部相关负责人表示，近年来，盐池县委组织部主动牵头、精准发力，组建专项调研队伍，全覆盖走访县内“三个百亿级”产业集群、七大特色产业领域千余家企业，全面摸排收集企业发展诉求，精准梳理建立人才项目需求清单。依托“两个一批”工作机制，即向上级申报一批优质人才项目、县级自主实施一批重点项目，全县累计落地实施人才项目38个，柔性引进区内外高校、科研院所各类高层次人才300余人驻盐服务，帮带培育本土各类技能人才1700余名。从传统种养产业转型升级，到新兴产业科技攻关，再到教育医疗、人文社科等领域提质增效，各类人才项目已成为撬动盐池县域产业高质量跃升的重要支点。下一步，盐池县将持续深化“两个一批”人才项目落地实施，健全高层次人才常态化联络服务机制，紧扣县域特色产业发展需求精准布局攻关课题，持续精准引育外来优秀人才、盘活用好本土人才资源，让各类人才项目成为县域产业转型升级、经济高质量发展的强劲助推器。</w:t>
      </w:r>
    </w:p>
    <w:p w14:paraId="227989DA">
      <w:pPr>
        <w:spacing w:line="360" w:lineRule="auto"/>
        <w:jc w:val="right"/>
        <w:rPr>
          <w:rFonts w:eastAsia="黑体"/>
          <w:b/>
          <w:bCs/>
          <w:sz w:val="32"/>
          <w:szCs w:val="32"/>
        </w:rPr>
      </w:pPr>
      <w:bookmarkStart w:id="8" w:name="_Toc229603690"/>
      <w:r>
        <w:rPr>
          <w:rStyle w:val="96"/>
          <w:rFonts w:eastAsiaTheme="minorEastAsia"/>
          <w:szCs w:val="21"/>
        </w:rPr>
        <w:t>转摘</w:t>
      </w:r>
      <w:r>
        <w:rPr>
          <w:rStyle w:val="96"/>
          <w:rFonts w:hint="eastAsia" w:eastAsiaTheme="minorEastAsia"/>
          <w:szCs w:val="21"/>
        </w:rPr>
        <w:t>自</w:t>
      </w:r>
      <w:bookmarkEnd w:id="8"/>
      <w:r>
        <w:rPr>
          <w:rStyle w:val="96"/>
          <w:rFonts w:eastAsiaTheme="minorEastAsia"/>
          <w:szCs w:val="21"/>
        </w:rPr>
        <w:t>转摘</w:t>
      </w:r>
      <w:r>
        <w:rPr>
          <w:rStyle w:val="96"/>
          <w:rFonts w:hint="eastAsia" w:eastAsiaTheme="minorEastAsia"/>
          <w:szCs w:val="21"/>
        </w:rPr>
        <w:t>自央视网</w:t>
      </w:r>
    </w:p>
    <w:p w14:paraId="680F08B9">
      <w:pPr>
        <w:spacing w:line="360" w:lineRule="auto"/>
        <w:jc w:val="center"/>
        <w:outlineLvl w:val="1"/>
        <w:rPr>
          <w:rFonts w:hint="eastAsia" w:eastAsia="黑体"/>
          <w:b/>
          <w:bCs/>
          <w:sz w:val="32"/>
          <w:szCs w:val="32"/>
        </w:rPr>
      </w:pPr>
      <w:bookmarkStart w:id="9" w:name="_Toc230941927"/>
      <w:r>
        <w:rPr>
          <w:rFonts w:hint="eastAsia" w:eastAsia="黑体"/>
          <w:b/>
          <w:bCs/>
          <w:sz w:val="32"/>
          <w:szCs w:val="32"/>
          <w:lang w:val="en-US" w:eastAsia="zh-CN"/>
        </w:rPr>
        <w:t>2026渔业周·渔博会在榕开幕</w:t>
      </w:r>
    </w:p>
    <w:bookmarkEnd w:id="9"/>
    <w:p w14:paraId="6ED96982">
      <w:pPr>
        <w:spacing w:line="360" w:lineRule="auto"/>
        <w:ind w:firstLine="480" w:firstLineChars="200"/>
        <w:rPr>
          <w:rFonts w:hint="eastAsia" w:eastAsiaTheme="minorEastAsia"/>
          <w:sz w:val="24"/>
          <w:lang w:val="en-US" w:eastAsia="zh-CN"/>
        </w:rPr>
      </w:pPr>
      <w:r>
        <w:rPr>
          <w:rFonts w:hint="eastAsia" w:eastAsiaTheme="minorEastAsia"/>
          <w:sz w:val="24"/>
          <w:lang w:val="en-US" w:eastAsia="zh-CN"/>
        </w:rPr>
        <w:t>6月12日，由福州市人民政府、福建省海洋与渔业局、中国渔业协会联合主办的2026海峡（福州）渔业周和第十八届中国（福州）国际渔业博览会在海峡国际会展中心开幕福建省委副书记、福州市委书记郭宁宁，国务院参事于康震，喀麦隆驻华大使马丁·姆巴纳，佛得角驻华大使阿林多·多罗萨里奥，联合国粮农组织驻中国及朝鲜代表卡洛斯，福建省领导袁毅、王金福、余军等参观展会。</w:t>
      </w:r>
    </w:p>
    <w:p w14:paraId="08938280">
      <w:pPr>
        <w:spacing w:line="360" w:lineRule="auto"/>
        <w:ind w:firstLine="480" w:firstLineChars="200"/>
        <w:rPr>
          <w:rFonts w:hint="eastAsia" w:eastAsiaTheme="minorEastAsia"/>
          <w:sz w:val="24"/>
          <w:lang w:val="en-US" w:eastAsia="zh-CN"/>
        </w:rPr>
      </w:pPr>
      <w:r>
        <w:rPr>
          <w:rFonts w:hint="eastAsia" w:eastAsiaTheme="minorEastAsia"/>
          <w:sz w:val="24"/>
          <w:lang w:val="en-US" w:eastAsia="zh-CN"/>
        </w:rPr>
        <w:t>渔博会各大展区水产品琳琅满目，海内外优质企业携全球渔货集中亮相。郭宁宁等来到“福渔世界·智海扬帆——共创海洋经济高质量发展”主题推介区、福建现代渔业成果推介区、闽台渔业融合发展成果推介区等，了解福建福州海洋经济发展、海洋科创、两岸渔业产业合作等成果，要求各地区各有关部门进一步用好福建福州的海洋资源优势，加快培育海洋新质生产力，做大做强远洋渔业、深远海养殖等产业，深化两岸渔业良种繁育、智慧养殖等领域合作，加快建设全国海洋经济发展示范区，打造更高水平“海上福建”，努力在新一轮海洋经济发展浪潮中奋勇争先。</w:t>
      </w:r>
    </w:p>
    <w:p w14:paraId="4762CD2C">
      <w:pPr>
        <w:spacing w:line="360" w:lineRule="auto"/>
        <w:ind w:firstLine="480" w:firstLineChars="200"/>
        <w:rPr>
          <w:rFonts w:hint="eastAsia" w:eastAsiaTheme="minorEastAsia"/>
          <w:sz w:val="24"/>
        </w:rPr>
      </w:pPr>
      <w:r>
        <w:rPr>
          <w:rFonts w:hint="eastAsia" w:eastAsiaTheme="minorEastAsia"/>
          <w:sz w:val="24"/>
        </w:rPr>
        <w:t>在海南展团、宁德展团、乾动海上粮仓推介区、正冠渔业推介区、厄瓜多尔Exportquilsa有信推介区，郭宁宁与参展商深入交流，察看各展区特色产品，详细询问企业产品研发销售、国内外市场开拓等情况，希望企业用好渔博会平台，进一步畅通产销渠道、拓展发展空间；立足市场需求，加大研发投入，推动技术创新、模式创新、产品创新，持续提升企业竞争力和产品附加值，助力打响“福渔世界”品牌。在2026福鱼鉴赏展，郭宁宁等详细了解福州金鱼品种培育、养殖销售以及渔业工美创作等情况，强调要全面推进金鱼产业高质量发展，扩大福州金鱼文化影响力，持续擦亮“中国金鱼之都”金字招牌。</w:t>
      </w:r>
    </w:p>
    <w:p w14:paraId="6EEB6DE1">
      <w:pPr>
        <w:spacing w:line="360" w:lineRule="auto"/>
        <w:ind w:firstLine="480" w:firstLineChars="200"/>
        <w:rPr>
          <w:rFonts w:eastAsiaTheme="minorEastAsia"/>
          <w:sz w:val="24"/>
        </w:rPr>
      </w:pPr>
      <w:r>
        <w:rPr>
          <w:rFonts w:hint="eastAsia" w:eastAsiaTheme="minorEastAsia"/>
          <w:sz w:val="24"/>
        </w:rPr>
        <w:t>　　据悉，本届活动以“有福之州·福渔世界”为主题，为期5天，打造“渔智·科创”“渔兴·闽台”“渔联·全球”“渔仓·永续”四大特色板块，共推出23场特色活动。渔博会精心规划“AI+渔业”先进装备、水产加工、养殖投入品及养殖设备等十大特色推介区，汇聚全球超500家优质企业，全方位展现渔业产业发展新成果</w:t>
      </w:r>
    </w:p>
    <w:p w14:paraId="58E3537D">
      <w:pPr>
        <w:spacing w:line="360" w:lineRule="auto"/>
        <w:ind w:firstLine="420"/>
        <w:jc w:val="right"/>
        <w:rPr>
          <w:rFonts w:hint="default" w:eastAsiaTheme="minorEastAsia"/>
          <w:szCs w:val="21"/>
          <w:lang w:val="en-US" w:eastAsia="zh-CN"/>
        </w:rPr>
      </w:pPr>
      <w:r>
        <w:rPr>
          <w:rStyle w:val="96"/>
          <w:rFonts w:eastAsiaTheme="minorEastAsia"/>
          <w:szCs w:val="21"/>
        </w:rPr>
        <w:t>转摘</w:t>
      </w:r>
      <w:r>
        <w:rPr>
          <w:rStyle w:val="96"/>
          <w:rFonts w:hint="eastAsia" w:eastAsiaTheme="minorEastAsia"/>
          <w:szCs w:val="21"/>
        </w:rPr>
        <w:t>自</w:t>
      </w:r>
      <w:r>
        <w:rPr>
          <w:rStyle w:val="96"/>
          <w:rFonts w:hint="eastAsia" w:eastAsiaTheme="minorEastAsia"/>
          <w:szCs w:val="21"/>
          <w:lang w:val="en-US" w:eastAsia="zh-CN"/>
        </w:rPr>
        <w:t>福州新闻网</w:t>
      </w:r>
    </w:p>
    <w:p w14:paraId="2406BAE7">
      <w:pPr>
        <w:spacing w:line="360" w:lineRule="auto"/>
        <w:jc w:val="center"/>
        <w:outlineLvl w:val="1"/>
        <w:rPr>
          <w:rFonts w:eastAsia="黑体"/>
          <w:b/>
          <w:bCs/>
          <w:sz w:val="32"/>
          <w:szCs w:val="32"/>
        </w:rPr>
      </w:pPr>
      <w:bookmarkStart w:id="10" w:name="_Toc230941928"/>
      <w:r>
        <w:rPr>
          <w:rFonts w:hint="eastAsia" w:eastAsia="黑体"/>
          <w:b/>
          <w:bCs/>
          <w:sz w:val="32"/>
          <w:szCs w:val="32"/>
          <w:lang w:val="en-US" w:eastAsia="zh-CN"/>
        </w:rPr>
        <w:t>第六届深远海养殖国际研讨会在福州举办</w:t>
      </w:r>
      <w:bookmarkEnd w:id="10"/>
    </w:p>
    <w:p w14:paraId="60E9FE48">
      <w:pPr>
        <w:spacing w:line="360" w:lineRule="auto"/>
        <w:ind w:firstLine="420"/>
        <w:rPr>
          <w:rFonts w:hint="eastAsia" w:eastAsiaTheme="minorEastAsia"/>
          <w:sz w:val="24"/>
          <w:lang w:val="en-US" w:eastAsia="zh-CN"/>
        </w:rPr>
      </w:pPr>
      <w:r>
        <w:rPr>
          <w:rFonts w:hint="eastAsia" w:eastAsiaTheme="minorEastAsia"/>
          <w:sz w:val="24"/>
          <w:lang w:val="en-US" w:eastAsia="zh-CN"/>
        </w:rPr>
        <w:t>6月12日至13日，第六届深远海养殖国际研讨会在福建省福州市举办。大会以“科技筑梦深蓝，共创海上粮仓”为主题，是我国深远海养殖领域唯一的国际性学术会议，也是全球该学科领域极具影响力的核心交流平台。本次大会由福建省海洋与渔业局提供支持，中国水产科学研究院东海水产研究所主办。</w:t>
      </w:r>
    </w:p>
    <w:p w14:paraId="605E6059">
      <w:pPr>
        <w:spacing w:line="360" w:lineRule="auto"/>
        <w:ind w:firstLine="420"/>
        <w:rPr>
          <w:rFonts w:hint="eastAsia" w:eastAsiaTheme="minorEastAsia"/>
          <w:sz w:val="24"/>
          <w:lang w:val="en-US" w:eastAsia="zh-CN"/>
        </w:rPr>
      </w:pPr>
      <w:r>
        <w:rPr>
          <w:rFonts w:hint="eastAsia" w:eastAsiaTheme="minorEastAsia"/>
          <w:sz w:val="24"/>
          <w:lang w:val="en-US" w:eastAsia="zh-CN"/>
        </w:rPr>
        <w:t>会议汇聚了来自挪威、智利、美国、马来西亚、日本、委内瑞拉以及联合国粮农组织、国际铜业协会、国际海洋管理委员会、最佳水产养殖规范等12个国家和国际组织的100余名海内外代表参会。中国水产科学研究院副院长王玉梅，中国水产科学研究院东海水产研究所所长方辉，福建省海洋与渔业执法总队党委副书记、政委朱真分别致辞，爱尔兰议会议员暨渔业委员会委员帕特·加拉格尔发来致辞视频。</w:t>
      </w:r>
    </w:p>
    <w:p w14:paraId="6A5D1C6D">
      <w:pPr>
        <w:spacing w:line="360" w:lineRule="auto"/>
        <w:ind w:firstLine="420"/>
        <w:rPr>
          <w:rFonts w:hint="eastAsia" w:eastAsiaTheme="minorEastAsia"/>
          <w:sz w:val="24"/>
          <w:lang w:val="en-US" w:eastAsia="zh-CN"/>
        </w:rPr>
      </w:pPr>
      <w:r>
        <w:rPr>
          <w:rFonts w:hint="eastAsia" w:eastAsiaTheme="minorEastAsia"/>
          <w:sz w:val="24"/>
          <w:lang w:val="en-US" w:eastAsia="zh-CN"/>
        </w:rPr>
        <w:t>　　王玉梅在致辞中表示，中国水产科学研究院将持续深化多边协作，以技术创新为现代渔业转型升级注入核心动能，助力全球渔业可持续发展。方辉对参会各方表示欢迎，希望与会各方充分开展技术研讨与经验互通，促进科研成果落地产业化，持续引领行业高质量发展。朱真对大会顺利召开表示祝贺，并希望海内外专家与机构深化产学研协作，在八闽大地开花结果。</w:t>
      </w:r>
    </w:p>
    <w:p w14:paraId="6A6C95E4">
      <w:pPr>
        <w:spacing w:line="360" w:lineRule="auto"/>
        <w:ind w:firstLine="420"/>
        <w:rPr>
          <w:rFonts w:hint="eastAsia" w:eastAsiaTheme="minorEastAsia"/>
          <w:sz w:val="24"/>
          <w:lang w:val="en-US" w:eastAsia="zh-CN"/>
        </w:rPr>
      </w:pPr>
      <w:r>
        <w:rPr>
          <w:rFonts w:hint="eastAsia" w:eastAsiaTheme="minorEastAsia"/>
          <w:sz w:val="24"/>
          <w:lang w:val="en-US" w:eastAsia="zh-CN"/>
        </w:rPr>
        <w:t>     会议特邀联合国粮农组织渔业和水产养殖司副司长袁新华、中国渔船渔机渔具行业协会会长李杰人、中国水产科学研究院东海水产研究所副所长郑汉丰作主题报告。16位国内外行业顶尖专家与企业代表进行专题学术报告，介绍了挪威、智利、马来西亚、委内瑞拉等国家的海水养殖情况，交流了我国深远海养殖产业与技术发展的最新现状与未来走向，围绕大黄鱼、卵形鲳鲹、大西洋鲑等优势养殖品种的全产业链技术创新成果进行深度分享，重点研讨了海上封闭式养殖技术、深远海养殖装备与技术、深远海遥控潜降式网箱研发、半潜桁架式养殖平台等核心装备的理论研究、技术攻关与产业化应用成效。会议期间还举办了圆桌座谈，共同为深远海养殖产业的发展前景出谋划策。</w:t>
      </w:r>
    </w:p>
    <w:p w14:paraId="5D993DE7">
      <w:pPr>
        <w:spacing w:line="360" w:lineRule="auto"/>
        <w:ind w:firstLine="420"/>
        <w:rPr>
          <w:rFonts w:hint="eastAsia" w:eastAsiaTheme="minorEastAsia"/>
          <w:sz w:val="24"/>
          <w:lang w:val="en-US" w:eastAsia="zh-CN"/>
        </w:rPr>
      </w:pPr>
      <w:r>
        <w:rPr>
          <w:rFonts w:hint="eastAsia" w:eastAsiaTheme="minorEastAsia"/>
          <w:sz w:val="24"/>
          <w:lang w:val="en-US" w:eastAsia="zh-CN"/>
        </w:rPr>
        <w:t>　　作为前五届学术交流活动的延续与升级，本次会议搭建起开放包容、互联互通、协同共进的高水平国际对话平台，集聚了全球深远海养殖领域顶尖科研人才与龙头企业的前沿智慧与创新成果，为推动我国乃至世界水产养殖产业提质增效、绿色可持续发展提供了重要智力支撑。</w:t>
      </w:r>
    </w:p>
    <w:p w14:paraId="462687F0">
      <w:pPr>
        <w:spacing w:line="360" w:lineRule="auto"/>
        <w:ind w:firstLine="420"/>
        <w:jc w:val="right"/>
        <w:rPr>
          <w:rStyle w:val="96"/>
          <w:rFonts w:hint="default" w:eastAsiaTheme="minorEastAsia"/>
          <w:szCs w:val="21"/>
          <w:lang w:val="en-US" w:eastAsia="zh-CN"/>
        </w:rPr>
      </w:pPr>
      <w:r>
        <w:rPr>
          <w:rStyle w:val="96"/>
          <w:rFonts w:eastAsiaTheme="minorEastAsia"/>
          <w:szCs w:val="21"/>
        </w:rPr>
        <w:t>转摘</w:t>
      </w:r>
      <w:r>
        <w:rPr>
          <w:rStyle w:val="96"/>
          <w:rFonts w:hint="eastAsia" w:eastAsiaTheme="minorEastAsia"/>
          <w:szCs w:val="21"/>
        </w:rPr>
        <w:t>自</w:t>
      </w:r>
      <w:r>
        <w:rPr>
          <w:rStyle w:val="96"/>
          <w:rFonts w:hint="eastAsia" w:eastAsiaTheme="minorEastAsia"/>
          <w:szCs w:val="21"/>
          <w:lang w:val="en-US" w:eastAsia="zh-CN"/>
        </w:rPr>
        <w:t>中国渔业报</w:t>
      </w:r>
    </w:p>
    <w:p w14:paraId="6AAFFF42">
      <w:pPr>
        <w:spacing w:line="360" w:lineRule="auto"/>
        <w:jc w:val="center"/>
        <w:outlineLvl w:val="1"/>
        <w:rPr>
          <w:rFonts w:hint="eastAsia" w:eastAsia="黑体"/>
          <w:b/>
          <w:bCs/>
          <w:sz w:val="32"/>
          <w:szCs w:val="32"/>
        </w:rPr>
      </w:pPr>
      <w:bookmarkStart w:id="11" w:name="_Toc230941929"/>
      <w:r>
        <w:rPr>
          <w:rFonts w:hint="eastAsia" w:eastAsia="黑体"/>
          <w:b/>
          <w:bCs/>
          <w:sz w:val="32"/>
          <w:szCs w:val="32"/>
        </w:rPr>
        <w:t>中国水产科学研究院淡水渔业研究中心在鲫鱼无喉孢子虫苗种繁育研究上取得重要进展</w:t>
      </w:r>
    </w:p>
    <w:bookmarkEnd w:id="11"/>
    <w:p w14:paraId="655D0D51">
      <w:pPr>
        <w:spacing w:line="360" w:lineRule="auto"/>
        <w:ind w:firstLine="420"/>
        <w:rPr>
          <w:rFonts w:hint="eastAsia" w:eastAsiaTheme="minorEastAsia"/>
          <w:sz w:val="24"/>
        </w:rPr>
      </w:pPr>
      <w:r>
        <w:rPr>
          <w:rFonts w:hint="eastAsia" w:eastAsiaTheme="minorEastAsia"/>
          <w:sz w:val="24"/>
        </w:rPr>
        <w:t>近日，中国水产科学研究院淡水渔业研究中心养殖病害防控团队完成对鲫鱼苗种场繁育无喉孢子虫苗种的连续监测；抽样检测结果表明基于该团队的鲫鱼无喉孢子虫苗种繁育技术所培育的苗种不携带喉孢子虫病原，在池塘养殖2年内未出现喉孢子病的环境传染现象，为合作鲫鱼苗种场建立了稳定的无喉孢子虫病鲫鱼繁育家系。</w:t>
      </w:r>
    </w:p>
    <w:p w14:paraId="0A5B9F7F">
      <w:pPr>
        <w:spacing w:line="360" w:lineRule="auto"/>
        <w:ind w:firstLine="420"/>
        <w:rPr>
          <w:rFonts w:hint="eastAsia" w:eastAsiaTheme="minorEastAsia"/>
          <w:sz w:val="24"/>
        </w:rPr>
      </w:pPr>
      <w:r>
        <w:rPr>
          <w:rFonts w:hint="eastAsia" w:eastAsiaTheme="minorEastAsia"/>
          <w:sz w:val="24"/>
        </w:rPr>
        <w:t>喉孢子虫病（病原物种名：洪湖碘泡虫）是国内鲫鱼养殖危害最大的寄生虫病，每年造成夏花苗种和成鱼大量死亡，尤其在夏花阶段最高死亡率可达90%以上；在部分鲫鱼苗种养殖区甚至造成夏花成活率不足六成。流行病学调查发现喉孢子虫病原在国内鲫鱼种群存在普遍隐性携带现象。</w:t>
      </w:r>
    </w:p>
    <w:p w14:paraId="0D167077">
      <w:pPr>
        <w:spacing w:line="360" w:lineRule="auto"/>
        <w:ind w:firstLine="420"/>
        <w:rPr>
          <w:rFonts w:hint="eastAsia" w:eastAsiaTheme="minorEastAsia"/>
          <w:sz w:val="24"/>
        </w:rPr>
      </w:pPr>
      <w:r>
        <w:rPr>
          <w:rFonts w:hint="eastAsia" w:eastAsiaTheme="minorEastAsia"/>
          <w:sz w:val="24"/>
        </w:rPr>
        <w:t>近年来，中心养殖病害防控团队聚焦鲫鱼黏孢子虫病害。在理论研究方面，突破性地发现鲫鱼寄生“喉孢子虫”存在随亲本（卵、精液）传染途径，揭示了“喉孢子虫”可系统感染鲫鱼多组织器官，并确定鲫鱼伪鳃是病原寄生重要靶器官；在技术创新方面，创建了高灵敏度、高准确率的“喉孢子虫”核酸检测方法和鲫鱼无黏孢子虫苗种繁育技术；自2024年来，团队在河北唐山丰越养殖场、江西国家级九江市彭泽鲫良种场分别验证了异育银鲫(异源精子刺激雌核发育，鲤鱼精子+彭泽鲫卵）和彭泽鲫(同源精子授精，彭泽鲫精子+彭泽鲫卵）2种不同繁育方式的筛选纯化方案，有效控制了苗种场繁育子代带虫率。</w:t>
      </w:r>
    </w:p>
    <w:p w14:paraId="7E65D5E4">
      <w:pPr>
        <w:spacing w:line="360" w:lineRule="auto"/>
        <w:ind w:firstLine="420"/>
        <w:rPr>
          <w:rFonts w:hint="eastAsia" w:eastAsiaTheme="minorEastAsia"/>
          <w:sz w:val="24"/>
        </w:rPr>
      </w:pPr>
      <w:r>
        <w:rPr>
          <w:rFonts w:hint="eastAsia" w:eastAsiaTheme="minorEastAsia"/>
          <w:sz w:val="24"/>
        </w:rPr>
        <w:t>苗种带虫，严重影响种质质量并导致病害频发；近年来农业农村部大力推动水产苗种产地检疫和无规定水生动物疫病苗种场建设。开展鲫鱼无喉孢子虫苗种繁育，将降低苗种带虫率，从源头减少鲫养殖发病率和防治用药，提高养殖效益，促进渔民增产增收。</w:t>
      </w:r>
    </w:p>
    <w:p w14:paraId="003FBE70">
      <w:pPr>
        <w:spacing w:line="360" w:lineRule="auto"/>
        <w:ind w:firstLine="420"/>
        <w:jc w:val="right"/>
        <w:rPr>
          <w:rStyle w:val="96"/>
          <w:rFonts w:hint="eastAsia" w:eastAsiaTheme="minorEastAsia"/>
          <w:szCs w:val="21"/>
        </w:rPr>
      </w:pPr>
      <w:bookmarkStart w:id="12" w:name="OLE_LINK2"/>
      <w:r>
        <w:rPr>
          <w:rStyle w:val="96"/>
          <w:rFonts w:eastAsiaTheme="minorEastAsia"/>
          <w:szCs w:val="21"/>
        </w:rPr>
        <w:t>转摘</w:t>
      </w:r>
      <w:r>
        <w:rPr>
          <w:rStyle w:val="96"/>
          <w:rFonts w:hint="eastAsia" w:eastAsiaTheme="minorEastAsia"/>
          <w:szCs w:val="21"/>
        </w:rPr>
        <w:t>自</w:t>
      </w:r>
      <w:bookmarkEnd w:id="12"/>
      <w:r>
        <w:rPr>
          <w:rStyle w:val="96"/>
          <w:rFonts w:hint="eastAsia" w:eastAsiaTheme="minorEastAsia"/>
          <w:szCs w:val="21"/>
        </w:rPr>
        <w:t>中国水产科学研究院淡水渔业研究中心</w:t>
      </w:r>
    </w:p>
    <w:p w14:paraId="61C1C657">
      <w:pPr>
        <w:spacing w:line="276" w:lineRule="auto"/>
        <w:jc w:val="left"/>
        <w:outlineLvl w:val="0"/>
        <w:rPr>
          <w:rFonts w:eastAsia="黑体"/>
          <w:b/>
          <w:bCs/>
          <w:sz w:val="32"/>
          <w:szCs w:val="32"/>
          <w:bdr w:val="single" w:color="auto" w:sz="4" w:space="0"/>
        </w:rPr>
      </w:pPr>
      <w:bookmarkStart w:id="20" w:name="_GoBack"/>
      <w:bookmarkEnd w:id="20"/>
      <w:bookmarkStart w:id="13" w:name="_Toc229603696"/>
      <w:r>
        <w:rPr>
          <w:rFonts w:eastAsia="黑体"/>
          <w:b/>
          <w:bCs/>
          <w:sz w:val="32"/>
          <w:szCs w:val="32"/>
          <w:bdr w:val="single" w:color="auto" w:sz="4" w:space="0"/>
        </w:rPr>
        <w:t>研究进展</w:t>
      </w:r>
      <w:bookmarkEnd w:id="13"/>
    </w:p>
    <w:p w14:paraId="51F47DD0">
      <w:pPr>
        <w:spacing w:line="360" w:lineRule="auto"/>
        <w:jc w:val="center"/>
        <w:outlineLvl w:val="1"/>
        <w:rPr>
          <w:rFonts w:eastAsia="黑体"/>
          <w:b/>
          <w:bCs/>
          <w:sz w:val="32"/>
          <w:szCs w:val="32"/>
        </w:rPr>
      </w:pPr>
      <w:r>
        <w:rPr>
          <w:rFonts w:hint="eastAsia" w:eastAsia="黑体"/>
          <w:b/>
          <w:bCs/>
          <w:sz w:val="32"/>
          <w:szCs w:val="32"/>
        </w:rPr>
        <w:t>益生菌在刺参养殖中的应用进展与内共生菌的潜在价值</w:t>
      </w:r>
    </w:p>
    <w:p w14:paraId="17172A99">
      <w:pPr>
        <w:jc w:val="center"/>
        <w:rPr>
          <w:rFonts w:hint="eastAsia"/>
          <w:szCs w:val="21"/>
          <w:vertAlign w:val="superscript"/>
        </w:rPr>
      </w:pPr>
      <w:r>
        <w:rPr>
          <w:rFonts w:hint="eastAsia"/>
          <w:szCs w:val="21"/>
        </w:rPr>
        <w:t>陈慕雁</w:t>
      </w:r>
      <w:r>
        <w:rPr>
          <w:rFonts w:hint="eastAsia"/>
          <w:szCs w:val="21"/>
          <w:vertAlign w:val="superscript"/>
        </w:rPr>
        <w:t>1,2*</w:t>
      </w:r>
      <w:r>
        <w:rPr>
          <w:rFonts w:hint="eastAsia"/>
          <w:szCs w:val="21"/>
        </w:rPr>
        <w:t xml:space="preserve"> ，田    湘</w:t>
      </w:r>
      <w:bookmarkStart w:id="14" w:name="OLE_LINK1"/>
      <w:r>
        <w:rPr>
          <w:rFonts w:hint="eastAsia"/>
          <w:szCs w:val="21"/>
          <w:vertAlign w:val="superscript"/>
        </w:rPr>
        <w:t>1,2</w:t>
      </w:r>
      <w:bookmarkEnd w:id="14"/>
      <w:r>
        <w:rPr>
          <w:rFonts w:hint="eastAsia"/>
          <w:szCs w:val="21"/>
        </w:rPr>
        <w:t xml:space="preserve"> ， 罗海伟</w:t>
      </w:r>
      <w:r>
        <w:rPr>
          <w:rFonts w:hint="eastAsia"/>
          <w:szCs w:val="21"/>
          <w:vertAlign w:val="superscript"/>
        </w:rPr>
        <w:t>3*</w:t>
      </w:r>
    </w:p>
    <w:p w14:paraId="154D9C4B">
      <w:pPr>
        <w:rPr>
          <w:rFonts w:hint="eastAsia"/>
          <w:szCs w:val="21"/>
        </w:rPr>
      </w:pPr>
      <w:r>
        <w:rPr>
          <w:rFonts w:hint="eastAsia"/>
          <w:szCs w:val="21"/>
        </w:rPr>
        <w:t>(1.中国海洋大学，海水养殖教育部重点实验室，山东青岛266003;2. 中国海洋大学水产学院，山东青岛266003;3. 香港中文大学，香港999077)</w:t>
      </w:r>
    </w:p>
    <w:p w14:paraId="3900A69D">
      <w:pPr>
        <w:rPr>
          <w:szCs w:val="21"/>
        </w:rPr>
      </w:pPr>
      <w:r>
        <w:rPr>
          <w:b/>
          <w:bCs/>
          <w:szCs w:val="21"/>
        </w:rPr>
        <w:t>摘要</w:t>
      </w:r>
      <w:r>
        <w:rPr>
          <w:szCs w:val="21"/>
        </w:rPr>
        <w:t>：</w:t>
      </w:r>
      <w:r>
        <w:rPr>
          <w:rFonts w:hint="eastAsia"/>
          <w:szCs w:val="21"/>
        </w:rPr>
        <w:t>随着全球气候变暖，高温胁迫已成为制约刺参养殖可持续发展的主要瓶颈。益生菌 干预作为一种环境友好型调控策略，在水产养殖领域展现出广阔的应用前景。目前常用的 水产益生菌虽能有效提升刺参的生长与免疫水平，但其功能多限于短期常规健康维护，在 长期增强刺参耐高温能力方面仍存在明显不足。本文系统综述了水产益生菌在刺参养殖中 的应用现状，通过对比分析内源性和外源性益生菌的差异，探讨了内源性益生菌在水产养 殖中的潜在优势。进一步结合跨物种视角，重点阐述了珊瑚内共生菌通过调控宿主热应激 响应机制提升耐热能力的益生作用，并探讨其对刺参内源性内共生益生菌研发的启示。在 此基础上，本文进一步展望了刺参先锋微生物作为内源性益生菌的开发潜力，并对刺参耐 高温内共生益生菌的开发路径、可行性及未来研究方向进行了评述，旨在为气候变化背景 下刺参养殖的绿色、高效、可持续发展与资源保护提供新思路</w:t>
      </w:r>
      <w:r>
        <w:rPr>
          <w:szCs w:val="21"/>
        </w:rPr>
        <w:t>。</w:t>
      </w:r>
    </w:p>
    <w:p w14:paraId="0C4AD370">
      <w:pPr>
        <w:rPr>
          <w:szCs w:val="21"/>
        </w:rPr>
      </w:pPr>
      <w:r>
        <w:rPr>
          <w:b/>
          <w:bCs/>
          <w:szCs w:val="21"/>
        </w:rPr>
        <w:t>关键词：</w:t>
      </w:r>
      <w:r>
        <w:rPr>
          <w:rFonts w:hint="eastAsia"/>
          <w:szCs w:val="21"/>
        </w:rPr>
        <w:t>刺参；水产养殖； 益生菌；内共生菌；高温胁迫</w:t>
      </w:r>
    </w:p>
    <w:p w14:paraId="7A77E037">
      <w:pPr>
        <w:jc w:val="center"/>
        <w:rPr>
          <w:rFonts w:hint="eastAsia"/>
          <w:b/>
          <w:bCs/>
          <w:sz w:val="24"/>
        </w:rPr>
      </w:pPr>
      <w:r>
        <w:rPr>
          <w:rFonts w:hint="eastAsia"/>
          <w:b/>
          <w:bCs/>
          <w:sz w:val="24"/>
        </w:rPr>
        <w:t>Advances in the application of probiotics in sea cucumber</w:t>
      </w:r>
    </w:p>
    <w:p w14:paraId="2037FF84">
      <w:pPr>
        <w:jc w:val="center"/>
        <w:rPr>
          <w:rFonts w:hint="eastAsia"/>
          <w:b/>
          <w:bCs/>
          <w:sz w:val="24"/>
        </w:rPr>
      </w:pPr>
      <w:r>
        <w:rPr>
          <w:rFonts w:hint="eastAsia"/>
          <w:b/>
          <w:bCs/>
          <w:sz w:val="24"/>
        </w:rPr>
        <w:t>(</w:t>
      </w:r>
      <w:r>
        <w:rPr>
          <w:rFonts w:hint="default" w:ascii="Times New Roman Bold Italic" w:hAnsi="Times New Roman Bold Italic" w:cs="Times New Roman Bold Italic"/>
          <w:b/>
          <w:bCs/>
          <w:i/>
          <w:iCs/>
          <w:sz w:val="24"/>
        </w:rPr>
        <w:t>Apostichopus japonicus</w:t>
      </w:r>
      <w:r>
        <w:rPr>
          <w:rFonts w:hint="eastAsia"/>
          <w:b/>
          <w:bCs/>
          <w:sz w:val="24"/>
        </w:rPr>
        <w:t>) aquaculture and the potential</w:t>
      </w:r>
    </w:p>
    <w:p w14:paraId="049D45CA">
      <w:pPr>
        <w:jc w:val="center"/>
        <w:rPr>
          <w:rFonts w:hint="eastAsia"/>
          <w:b/>
          <w:bCs/>
          <w:sz w:val="24"/>
        </w:rPr>
      </w:pPr>
      <w:r>
        <w:rPr>
          <w:rFonts w:hint="eastAsia"/>
          <w:b/>
          <w:bCs/>
          <w:sz w:val="24"/>
        </w:rPr>
        <w:t>value of endosymbiotic bacteria</w:t>
      </w:r>
    </w:p>
    <w:p w14:paraId="753D3A0B">
      <w:pPr>
        <w:jc w:val="center"/>
        <w:rPr>
          <w:rFonts w:hint="eastAsia"/>
          <w:szCs w:val="21"/>
          <w:vertAlign w:val="superscript"/>
        </w:rPr>
      </w:pPr>
      <w:r>
        <w:rPr>
          <w:rFonts w:hint="eastAsia"/>
          <w:szCs w:val="21"/>
        </w:rPr>
        <w:t xml:space="preserve">CHEN Muyan </w:t>
      </w:r>
      <w:r>
        <w:rPr>
          <w:rFonts w:hint="eastAsia"/>
          <w:szCs w:val="21"/>
          <w:vertAlign w:val="superscript"/>
        </w:rPr>
        <w:t>1,2*</w:t>
      </w:r>
      <w:r>
        <w:rPr>
          <w:rFonts w:hint="eastAsia"/>
          <w:szCs w:val="21"/>
        </w:rPr>
        <w:t xml:space="preserve">,  TIAN Xiang </w:t>
      </w:r>
      <w:r>
        <w:rPr>
          <w:rFonts w:hint="eastAsia"/>
          <w:szCs w:val="21"/>
          <w:vertAlign w:val="superscript"/>
        </w:rPr>
        <w:t>1,2</w:t>
      </w:r>
      <w:r>
        <w:rPr>
          <w:rFonts w:hint="eastAsia"/>
          <w:szCs w:val="21"/>
        </w:rPr>
        <w:t xml:space="preserve">,  LUO Haiwei </w:t>
      </w:r>
      <w:r>
        <w:rPr>
          <w:rFonts w:hint="eastAsia"/>
          <w:szCs w:val="21"/>
          <w:vertAlign w:val="superscript"/>
        </w:rPr>
        <w:t>3*</w:t>
      </w:r>
    </w:p>
    <w:p w14:paraId="665E638F">
      <w:pPr>
        <w:jc w:val="center"/>
        <w:rPr>
          <w:szCs w:val="21"/>
        </w:rPr>
      </w:pPr>
      <w:r>
        <w:rPr>
          <w:szCs w:val="21"/>
        </w:rPr>
        <w:t>(</w:t>
      </w:r>
      <w:r>
        <w:rPr>
          <w:rFonts w:hint="eastAsia"/>
          <w:szCs w:val="21"/>
        </w:rPr>
        <w:t xml:space="preserve">1. Key Laboratory of Mariculture, Ministry of Education, Ocean University of China, Qingdao 266003, China;2. Fisheries College, Ocean University of China, Qingdao 266003, China;3. The Chinese University of HongKong, HongKong </w:t>
      </w:r>
      <w:r>
        <w:rPr>
          <w:rFonts w:hint="eastAsia"/>
          <w:szCs w:val="21"/>
          <w:lang w:val="en-US" w:eastAsia="zh-CN"/>
        </w:rPr>
        <w:t xml:space="preserve"> </w:t>
      </w:r>
      <w:r>
        <w:rPr>
          <w:rFonts w:hint="eastAsia"/>
          <w:szCs w:val="21"/>
        </w:rPr>
        <w:t>999077, China</w:t>
      </w:r>
      <w:r>
        <w:rPr>
          <w:szCs w:val="21"/>
        </w:rPr>
        <w:t>)</w:t>
      </w:r>
    </w:p>
    <w:p w14:paraId="4498AB77">
      <w:pPr>
        <w:rPr>
          <w:rFonts w:hint="eastAsia"/>
          <w:szCs w:val="21"/>
        </w:rPr>
      </w:pPr>
      <w:r>
        <w:rPr>
          <w:b/>
          <w:bCs/>
          <w:szCs w:val="21"/>
        </w:rPr>
        <w:t>Abstract</w:t>
      </w:r>
      <w:r>
        <w:rPr>
          <w:szCs w:val="21"/>
        </w:rPr>
        <w:t xml:space="preserve">: </w:t>
      </w:r>
      <w:r>
        <w:rPr>
          <w:rFonts w:hint="eastAsia"/>
          <w:szCs w:val="21"/>
        </w:rPr>
        <w:t xml:space="preserve"> With the intensification of global climate warming, high-temperature stress has emerged as a critical environmental factor constraining the sustainable development of Apostichopus japonicus aquaculture, an economically important species. As an eco-friendly and sustainable management strategy, probiotic intervention has attracted increasing interest in the aquaculture sector due to its potential to enhance host health and environmental adaptability. Existing studies have demonstrated that con- ventional  aquatic  probiotics  can  improve  the  growth  performance  and  non-specific  immune  responses  of A. japonicus. However, their functional efficacy remains largely confined to short-term routine health maintenance. Notably, these exogen- ous probiotics exhibit limited capacity to fundamentally enhance the long-term thermotolerance of A. japonicus, particularly under recurring or prolonged thermal stress associated with global warming. This functional limitation is primarily attributed to their poor colonization ability within the host intestinal tract. Such shortcomings underscore the urgent need to explore alternat- ive probiotic strategies capable of establishing more stable and persistent host-microbe interactions, thereby conferring  sus- tained protection against thermal stress.This paper provides a systematic review of the current application status and limitations of aquatic probiotics in sea cucumber aquaculture, with a focus on their roles in health management and stress mitigation. A comparative analysis is conducted between endogenous and exogenous probiotics, highlighting the distinct ecological interac- tions, colonization efficiency, and functional persistence associated with each type. Special emphasis is placed on the potential advantages of endogenous probiotics in establishing stable host-microbe associations and improving host resilience to environ- mental stressors. Unlike exogenous strains, endogenous probiotics originate from the host's native microbiota, enabling them to more effectively occupy specific ecological niches, resist competitive exclusion, and maintain long-term functional activity within the gastrointestinal tract. These inherent characteristics render endogenous probiotics particularly promising candidates for enhancing host thermotolerance through sustained modulation of physiological and immunological pathways.Drawing on insights from cross-species comparisons, this paper further explores the role of coral endosymbiotic bacteria in enhancing coral host  thermotolerance,  offering  valuable  implications  for  the  development  of  analogous  endosymbiotic  probiotics  in  A. japonicus. Within this context, the concept of utilizing pioneer microorganisms native to the A.japonicus microbiota as candid- ate endogenous probiotics is introduced and discussed. Finally, this paper evaluates the developmental pathways, feasibility, and key research directions for constructing heat-resistant endosymbiotic probiotics tailored to A. japonicus, aiming to provide innovative perspectives for promoting green, efficient, and sustainable aquaculture practices under the pressures of climate change. By advancing the exploration and application of endogenous endosymbiotic probiotics, this review seeks to contribute to the sustainable intensification of A.japonicus aquaculture in an era of rapid environmental change.</w:t>
      </w:r>
    </w:p>
    <w:p w14:paraId="10AD2011">
      <w:pPr>
        <w:rPr>
          <w:szCs w:val="21"/>
        </w:rPr>
      </w:pPr>
      <w:r>
        <w:rPr>
          <w:b/>
          <w:bCs/>
          <w:szCs w:val="21"/>
        </w:rPr>
        <w:t>Key words</w:t>
      </w:r>
      <w:r>
        <w:rPr>
          <w:szCs w:val="21"/>
        </w:rPr>
        <w:t xml:space="preserve">: </w:t>
      </w:r>
      <w:r>
        <w:rPr>
          <w:rFonts w:hint="default" w:ascii="Times New Roman Italic" w:hAnsi="Times New Roman Italic" w:cs="Times New Roman Italic"/>
          <w:i/>
          <w:iCs/>
          <w:szCs w:val="21"/>
        </w:rPr>
        <w:t>Apostichopus japonicus</w:t>
      </w:r>
      <w:r>
        <w:rPr>
          <w:rFonts w:hint="eastAsia"/>
          <w:szCs w:val="21"/>
        </w:rPr>
        <w:t>; aquaculture; probiotics; endosymbiotic bacteria; heat stress</w:t>
      </w:r>
    </w:p>
    <w:p w14:paraId="4C04B837">
      <w:pPr>
        <w:spacing w:line="360" w:lineRule="auto"/>
        <w:ind w:firstLine="480" w:firstLineChars="200"/>
        <w:rPr>
          <w:rFonts w:hint="eastAsia"/>
          <w:sz w:val="24"/>
        </w:rPr>
      </w:pPr>
      <w:r>
        <w:rPr>
          <w:rFonts w:hint="eastAsia"/>
          <w:sz w:val="24"/>
        </w:rPr>
        <w:t>水产养殖已成为全球粮食生产体系中发展最为迅猛的生产方式，在保障人类食品安全供给、 促进经济增长方面发挥着关键作用</w:t>
      </w:r>
      <w:r>
        <w:rPr>
          <w:rFonts w:hint="default"/>
          <w:sz w:val="24"/>
          <w:vertAlign w:val="superscript"/>
          <w:lang w:val="en-US"/>
        </w:rPr>
        <w:t>[1]</w:t>
      </w:r>
      <w:r>
        <w:rPr>
          <w:rFonts w:hint="eastAsia"/>
          <w:sz w:val="24"/>
        </w:rPr>
        <w:t>。据联合国粮食及农业组织预测，至2030年，人类对“蓝色食品”的需求占比将从2012年的50%攀升至62%。 到2050年，全球人口对水产品的总需求量预计将</w:t>
      </w:r>
      <w:r>
        <w:rPr>
          <w:rFonts w:hint="eastAsia"/>
          <w:sz w:val="24"/>
          <w:lang w:val="en-US" w:eastAsia="zh-CN"/>
        </w:rPr>
        <w:t>达</w:t>
      </w:r>
      <w:r>
        <w:rPr>
          <w:rFonts w:hint="eastAsia"/>
          <w:sz w:val="24"/>
        </w:rPr>
        <w:t>到4750</w:t>
      </w:r>
      <w:r>
        <w:rPr>
          <w:rFonts w:hint="eastAsia"/>
          <w:sz w:val="24"/>
          <w:lang w:val="en-US" w:eastAsia="zh-CN"/>
        </w:rPr>
        <w:t>万t</w:t>
      </w:r>
      <w:r>
        <w:rPr>
          <w:rFonts w:hint="default"/>
          <w:sz w:val="24"/>
          <w:vertAlign w:val="superscript"/>
          <w:lang w:val="en-US" w:eastAsia="zh-CN"/>
        </w:rPr>
        <w:t>[2-3]</w:t>
      </w:r>
      <w:r>
        <w:rPr>
          <w:rFonts w:hint="eastAsia"/>
          <w:sz w:val="24"/>
        </w:rPr>
        <w:t xml:space="preserve"> 。这一持续增长的需求趋势不仅凸显了水产养殖业的重要性，更对其生产效率提  出前所未有的高标准要求，其中水生动物的生理生化指标已成为影响生长速率和生产效率的关键调控因素</w:t>
      </w:r>
      <w:r>
        <w:rPr>
          <w:rFonts w:hint="default"/>
          <w:sz w:val="24"/>
          <w:vertAlign w:val="superscript"/>
          <w:lang w:val="en-US"/>
        </w:rPr>
        <w:t>[4]</w:t>
      </w:r>
      <w:r>
        <w:rPr>
          <w:rFonts w:hint="eastAsia"/>
          <w:sz w:val="24"/>
        </w:rPr>
        <w:t>。刺参作为世界范围内具有重要经济价值和营养价值的高需求物种，长期以来被视为水产养殖业的重点研究对象</w:t>
      </w:r>
      <w:r>
        <w:rPr>
          <w:rFonts w:hint="default"/>
          <w:sz w:val="24"/>
          <w:vertAlign w:val="superscript"/>
          <w:lang w:val="en-US"/>
        </w:rPr>
        <w:t>[5]</w:t>
      </w:r>
      <w:r>
        <w:rPr>
          <w:rFonts w:hint="eastAsia"/>
          <w:sz w:val="24"/>
        </w:rPr>
        <w:t>。</w:t>
      </w:r>
    </w:p>
    <w:p w14:paraId="7D0BE842">
      <w:pPr>
        <w:spacing w:line="360" w:lineRule="auto"/>
        <w:ind w:firstLine="480" w:firstLineChars="200"/>
        <w:rPr>
          <w:rFonts w:hint="eastAsia"/>
          <w:sz w:val="24"/>
        </w:rPr>
      </w:pPr>
      <w:r>
        <w:rPr>
          <w:rFonts w:hint="eastAsia"/>
          <w:sz w:val="24"/>
        </w:rPr>
        <w:t>1 水产益生菌在刺参养殖中的应用现状</w:t>
      </w:r>
    </w:p>
    <w:p w14:paraId="25486F74">
      <w:pPr>
        <w:spacing w:line="360" w:lineRule="auto"/>
        <w:ind w:firstLine="480" w:firstLineChars="200"/>
        <w:rPr>
          <w:rFonts w:hint="eastAsia"/>
          <w:sz w:val="24"/>
        </w:rPr>
      </w:pPr>
      <w:r>
        <w:rPr>
          <w:rFonts w:hint="eastAsia"/>
          <w:sz w:val="24"/>
        </w:rPr>
        <w:t>刺参(</w:t>
      </w:r>
      <w:r>
        <w:rPr>
          <w:rFonts w:hint="default" w:ascii="Times New Roman Italic" w:hAnsi="Times New Roman Italic" w:cs="Times New Roman Italic"/>
          <w:i/>
          <w:iCs/>
          <w:sz w:val="24"/>
        </w:rPr>
        <w:t>Apostichopus japonicus</w:t>
      </w:r>
      <w:r>
        <w:rPr>
          <w:rFonts w:hint="eastAsia"/>
          <w:sz w:val="24"/>
        </w:rPr>
        <w:t>)隶属于棘皮动物门 (</w:t>
      </w:r>
      <w:r>
        <w:rPr>
          <w:rFonts w:hint="default" w:ascii="Times New Roman" w:hAnsi="Times New Roman" w:cs="Times New Roman"/>
          <w:i w:val="0"/>
          <w:iCs w:val="0"/>
          <w:sz w:val="24"/>
        </w:rPr>
        <w:t>Echinodermata</w:t>
      </w:r>
      <w:r>
        <w:rPr>
          <w:rFonts w:hint="eastAsia"/>
          <w:sz w:val="24"/>
        </w:rPr>
        <w:t>)海参纲(Holothuroidea)辛那参目 (Synallactida)刺参科(Stichopodidae)仿刺参属 (</w:t>
      </w:r>
      <w:r>
        <w:rPr>
          <w:rFonts w:hint="default" w:ascii="Times New Roman Italic" w:hAnsi="Times New Roman Italic" w:cs="Times New Roman Italic"/>
          <w:i/>
          <w:iCs/>
          <w:sz w:val="24"/>
        </w:rPr>
        <w:t>Apostichopus</w:t>
      </w:r>
      <w:r>
        <w:rPr>
          <w:rFonts w:hint="eastAsia"/>
          <w:sz w:val="24"/>
        </w:rPr>
        <w:t>),在中国黄渤海地区广泛养殖</w:t>
      </w:r>
      <w:r>
        <w:rPr>
          <w:rFonts w:hint="default"/>
          <w:sz w:val="24"/>
          <w:vertAlign w:val="superscript"/>
          <w:lang w:val="en-US"/>
        </w:rPr>
        <w:t>[6]</w:t>
      </w:r>
      <w:r>
        <w:rPr>
          <w:rFonts w:hint="eastAsia"/>
          <w:sz w:val="24"/>
        </w:rPr>
        <w:t>。近年来，受全球气候变暖和养殖规模持续扩张的双重影响，高温胁迫和疾病暴发已成为制约刺参生长速率与存活率的突出瓶颈</w:t>
      </w:r>
      <w:r>
        <w:rPr>
          <w:rFonts w:hint="eastAsia"/>
          <w:sz w:val="24"/>
          <w:vertAlign w:val="superscript"/>
        </w:rPr>
        <w:t>[7–8]</w:t>
      </w:r>
      <w:r>
        <w:rPr>
          <w:rFonts w:hint="eastAsia"/>
          <w:sz w:val="24"/>
        </w:rPr>
        <w:t>。为快速应对产量损耗，养殖过程中常采用抗生素或抗菌药物作为病害防治的主要手段</w:t>
      </w:r>
      <w:r>
        <w:rPr>
          <w:rFonts w:hint="eastAsia"/>
          <w:sz w:val="24"/>
          <w:vertAlign w:val="superscript"/>
        </w:rPr>
        <w:t>[9–10]</w:t>
      </w:r>
      <w:r>
        <w:rPr>
          <w:rFonts w:hint="eastAsia"/>
          <w:sz w:val="24"/>
        </w:rPr>
        <w:t>。然而，化学药物在刺参体内的蓄积不仅破坏生态环境，其诱导的耐药病原体还可通过人畜共患途径威胁人类健康</w:t>
      </w:r>
      <w:r>
        <w:rPr>
          <w:rFonts w:hint="eastAsia"/>
          <w:sz w:val="24"/>
          <w:vertAlign w:val="superscript"/>
        </w:rPr>
        <w:t>[9-11]</w:t>
      </w:r>
      <w:r>
        <w:rPr>
          <w:rFonts w:hint="eastAsia"/>
          <w:sz w:val="24"/>
        </w:rPr>
        <w:t>。 随着对蓝色食品安全和养殖业可持续发展的重视， 益生菌等活性生物制剂凭借其生态安全性和多重益生功能， 已成为最具潜力的抗生素替代方案， 并逐步应用于刺参养殖实践</w:t>
      </w:r>
      <w:r>
        <w:rPr>
          <w:rFonts w:hint="eastAsia"/>
          <w:sz w:val="24"/>
          <w:vertAlign w:val="superscript"/>
        </w:rPr>
        <w:t>[7-12]</w:t>
      </w:r>
      <w:r>
        <w:rPr>
          <w:rFonts w:hint="eastAsia"/>
          <w:sz w:val="24"/>
        </w:rPr>
        <w:t>。</w:t>
      </w:r>
    </w:p>
    <w:p w14:paraId="1389803A">
      <w:pPr>
        <w:spacing w:line="360" w:lineRule="auto"/>
        <w:ind w:firstLine="480" w:firstLineChars="200"/>
        <w:rPr>
          <w:rFonts w:hint="eastAsia"/>
          <w:sz w:val="24"/>
        </w:rPr>
      </w:pPr>
      <w:r>
        <w:rPr>
          <w:rFonts w:hint="eastAsia"/>
          <w:sz w:val="24"/>
        </w:rPr>
        <w:t>随着水产养殖业的快速发展，学界进一步优化了水产益生菌开发标准。候选菌株不仅要满足益生菌的基本特性，还应优先选择天然存在于水生环境且与目标宿主兼容的微生物</w:t>
      </w:r>
      <w:r>
        <w:rPr>
          <w:rFonts w:hint="eastAsia"/>
          <w:sz w:val="24"/>
          <w:vertAlign w:val="superscript"/>
        </w:rPr>
        <w:t>[1, 13–14]</w:t>
      </w:r>
      <w:r>
        <w:rPr>
          <w:rFonts w:hint="eastAsia"/>
          <w:sz w:val="24"/>
        </w:rPr>
        <w:t>。近十年内， 刺参养殖常用的益生菌主要包括乳杆菌属 (</w:t>
      </w:r>
      <w:r>
        <w:rPr>
          <w:rFonts w:hint="default" w:ascii="Times New Roman Italic" w:hAnsi="Times New Roman Italic" w:cs="Times New Roman Italic"/>
          <w:i/>
          <w:iCs/>
          <w:sz w:val="24"/>
        </w:rPr>
        <w:t>Lactobacillus</w:t>
      </w:r>
      <w:r>
        <w:rPr>
          <w:rFonts w:hint="eastAsia"/>
          <w:sz w:val="24"/>
        </w:rPr>
        <w:t>)、芽孢杆菌属 (</w:t>
      </w:r>
      <w:r>
        <w:rPr>
          <w:rFonts w:hint="default" w:ascii="Times New Roman Italic" w:hAnsi="Times New Roman Italic" w:cs="Times New Roman Italic"/>
          <w:i/>
          <w:iCs/>
          <w:sz w:val="24"/>
        </w:rPr>
        <w:t>Bacillus</w:t>
      </w:r>
      <w:r>
        <w:rPr>
          <w:rFonts w:hint="eastAsia"/>
          <w:sz w:val="24"/>
        </w:rPr>
        <w:t>)、微球菌属 (</w:t>
      </w:r>
      <w:r>
        <w:rPr>
          <w:rFonts w:hint="default" w:ascii="Times New Roman Italic" w:hAnsi="Times New Roman Italic" w:cs="Times New Roman Italic"/>
          <w:i/>
          <w:iCs/>
          <w:sz w:val="24"/>
        </w:rPr>
        <w:t>Micrococcus</w:t>
      </w:r>
      <w:r>
        <w:rPr>
          <w:rFonts w:hint="eastAsia"/>
          <w:sz w:val="24"/>
        </w:rPr>
        <w:t>)、肠球菌属 (</w:t>
      </w:r>
      <w:r>
        <w:rPr>
          <w:rFonts w:hint="default" w:ascii="Times New Roman Italic" w:hAnsi="Times New Roman Italic" w:cs="Times New Roman Italic"/>
          <w:i/>
          <w:iCs/>
          <w:sz w:val="24"/>
        </w:rPr>
        <w:t>Enterococcus</w:t>
      </w:r>
      <w:r>
        <w:rPr>
          <w:rFonts w:hint="eastAsia"/>
          <w:sz w:val="24"/>
        </w:rPr>
        <w:t>)、片球菌属 (</w:t>
      </w:r>
      <w:r>
        <w:rPr>
          <w:rFonts w:hint="default" w:ascii="Times New Roman Italic" w:hAnsi="Times New Roman Italic" w:cs="Times New Roman Italic"/>
          <w:i/>
          <w:iCs/>
          <w:sz w:val="24"/>
        </w:rPr>
        <w:t>Prediococcus</w:t>
      </w:r>
      <w:r>
        <w:rPr>
          <w:rFonts w:hint="eastAsia"/>
          <w:sz w:val="24"/>
        </w:rPr>
        <w:t>) 和红酵母菌属 (</w:t>
      </w:r>
      <w:r>
        <w:rPr>
          <w:rFonts w:hint="default" w:ascii="Times New Roman Italic" w:hAnsi="Times New Roman Italic" w:cs="Times New Roman Italic"/>
          <w:i/>
          <w:iCs/>
          <w:sz w:val="24"/>
        </w:rPr>
        <w:t>Rhodotorula</w:t>
      </w:r>
      <w:r>
        <w:rPr>
          <w:rFonts w:hint="eastAsia"/>
          <w:sz w:val="24"/>
        </w:rPr>
        <w:t>)</w:t>
      </w:r>
      <w:r>
        <w:rPr>
          <w:rFonts w:hint="eastAsia"/>
          <w:sz w:val="24"/>
          <w:vertAlign w:val="superscript"/>
        </w:rPr>
        <w:t>[10, 15-24]</w:t>
      </w:r>
      <w:r>
        <w:rPr>
          <w:rFonts w:hint="eastAsia"/>
          <w:sz w:val="24"/>
        </w:rPr>
        <w:t>。 这些菌株大多数都来源于养殖水体及沉积物，或者分离自刺参本体组织器官</w:t>
      </w:r>
      <w:r>
        <w:rPr>
          <w:rFonts w:hint="eastAsia"/>
          <w:sz w:val="24"/>
          <w:vertAlign w:val="superscript"/>
        </w:rPr>
        <w:t>[18,23-25]</w:t>
      </w:r>
      <w:r>
        <w:rPr>
          <w:rFonts w:hint="eastAsia"/>
          <w:sz w:val="24"/>
        </w:rPr>
        <w:t>。它们通常被单独或复合添加到刺参的基础饲料中，通过摄食进入刺参肠道并定殖于上皮细胞表面</w:t>
      </w:r>
      <w:r>
        <w:rPr>
          <w:rFonts w:hint="eastAsia"/>
          <w:sz w:val="24"/>
          <w:vertAlign w:val="superscript"/>
        </w:rPr>
        <w:t>[17–18]</w:t>
      </w:r>
      <w:r>
        <w:rPr>
          <w:rFonts w:hint="eastAsia"/>
          <w:sz w:val="24"/>
        </w:rPr>
        <w:t>。成功定殖的益生菌在调控刺参免疫能力、改善生长性能以及维持肠道微生物群落稳态等方面均发挥着至 关重要的益生作用</w:t>
      </w:r>
      <w:r>
        <w:rPr>
          <w:rFonts w:hint="eastAsia"/>
          <w:sz w:val="24"/>
          <w:vertAlign w:val="superscript"/>
        </w:rPr>
        <w:t>[7,21,26]</w:t>
      </w:r>
      <w:r>
        <w:rPr>
          <w:rFonts w:hint="eastAsia"/>
          <w:sz w:val="24"/>
        </w:rPr>
        <w:t>(表 1)。</w:t>
      </w:r>
    </w:p>
    <w:p w14:paraId="7E934E63">
      <w:pPr>
        <w:spacing w:line="360" w:lineRule="auto"/>
        <w:ind w:firstLine="420" w:firstLineChars="200"/>
        <w:rPr>
          <w:rFonts w:hint="eastAsia"/>
          <w:sz w:val="24"/>
        </w:rPr>
      </w:pPr>
      <w:r>
        <w:drawing>
          <wp:anchor distT="0" distB="0" distL="114300" distR="114300" simplePos="0" relativeHeight="251667456" behindDoc="0" locked="0" layoutInCell="1" allowOverlap="1">
            <wp:simplePos x="0" y="0"/>
            <wp:positionH relativeFrom="column">
              <wp:posOffset>-133350</wp:posOffset>
            </wp:positionH>
            <wp:positionV relativeFrom="paragraph">
              <wp:posOffset>95885</wp:posOffset>
            </wp:positionV>
            <wp:extent cx="5975985" cy="3215005"/>
            <wp:effectExtent l="0" t="0" r="5715" b="10795"/>
            <wp:wrapTopAndBottom/>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8"/>
                    <a:stretch>
                      <a:fillRect/>
                    </a:stretch>
                  </pic:blipFill>
                  <pic:spPr>
                    <a:xfrm>
                      <a:off x="0" y="0"/>
                      <a:ext cx="5975985" cy="3215005"/>
                    </a:xfrm>
                    <a:prstGeom prst="rect">
                      <a:avLst/>
                    </a:prstGeom>
                    <a:noFill/>
                    <a:ln>
                      <a:noFill/>
                    </a:ln>
                  </pic:spPr>
                </pic:pic>
              </a:graphicData>
            </a:graphic>
          </wp:anchor>
        </w:drawing>
      </w:r>
      <w:r>
        <w:rPr>
          <w:rFonts w:hint="eastAsia"/>
          <w:sz w:val="24"/>
        </w:rPr>
        <w:t>2  内源还是外源？水产益生菌的深化与完善</w:t>
      </w:r>
    </w:p>
    <w:p w14:paraId="6D900D5D">
      <w:pPr>
        <w:spacing w:line="360" w:lineRule="auto"/>
        <w:ind w:firstLine="480" w:firstLineChars="200"/>
        <w:rPr>
          <w:rFonts w:hint="eastAsia"/>
          <w:sz w:val="24"/>
        </w:rPr>
      </w:pPr>
      <w:r>
        <w:rPr>
          <w:rFonts w:hint="eastAsia"/>
          <w:sz w:val="24"/>
        </w:rPr>
        <w:t>水产益生菌的应用经历了从传统经验性实践到现代科学化应用的显著演进，这一过程跨越了多个关键历史阶段。从传统益生菌的早期使用， 再到“下一代益生菌”概念的提出，菌株多样性的不断拓展深刻影响了其在养殖场景中的有效性评估、靶向目标、递送体系以及监管标准的策略选择</w:t>
      </w:r>
      <w:r>
        <w:rPr>
          <w:rFonts w:hint="eastAsia"/>
          <w:sz w:val="24"/>
          <w:vertAlign w:val="superscript"/>
        </w:rPr>
        <w:t>[27]</w:t>
      </w:r>
      <w:r>
        <w:rPr>
          <w:rFonts w:hint="eastAsia"/>
          <w:sz w:val="24"/>
        </w:rPr>
        <w:t>。明确益生菌类群的确切划分，对于深入探索其独特的益生功能具有重要的理论和实践意义。</w:t>
      </w:r>
    </w:p>
    <w:p w14:paraId="31ECBCBD">
      <w:pPr>
        <w:spacing w:line="360" w:lineRule="auto"/>
        <w:ind w:firstLine="480" w:firstLineChars="200"/>
        <w:rPr>
          <w:rFonts w:hint="eastAsia"/>
          <w:sz w:val="24"/>
        </w:rPr>
      </w:pPr>
      <w:r>
        <w:rPr>
          <w:rFonts w:hint="eastAsia"/>
          <w:sz w:val="24"/>
        </w:rPr>
        <w:t>现有研究基于菌株来源及其与宿主的相互作用模式，益生菌被系统划分为内源性益生菌和外源性益生菌两大类别</w:t>
      </w:r>
      <w:r>
        <w:rPr>
          <w:rFonts w:hint="eastAsia"/>
          <w:sz w:val="24"/>
          <w:vertAlign w:val="superscript"/>
        </w:rPr>
        <w:t>[28]</w:t>
      </w:r>
      <w:r>
        <w:rPr>
          <w:rFonts w:hint="eastAsia"/>
          <w:sz w:val="24"/>
        </w:rPr>
        <w:t>。这两类菌群的核心差异主要体现在其宿主体内的起源特征与定殖持久性上</w:t>
      </w:r>
      <w:r>
        <w:rPr>
          <w:rFonts w:hint="eastAsia"/>
          <w:sz w:val="24"/>
          <w:vertAlign w:val="superscript"/>
        </w:rPr>
        <w:t>[29]</w:t>
      </w:r>
      <w:r>
        <w:rPr>
          <w:rFonts w:hint="eastAsia"/>
          <w:sz w:val="24"/>
        </w:rPr>
        <w:t>。内源性益生菌是宿主原生微生物群的自然组成部分，与宿主形成长期稳定的共生关系</w:t>
      </w:r>
      <w:r>
        <w:rPr>
          <w:rFonts w:hint="eastAsia"/>
          <w:sz w:val="24"/>
          <w:vertAlign w:val="superscript"/>
        </w:rPr>
        <w:t>[30]</w:t>
      </w:r>
      <w:r>
        <w:rPr>
          <w:rFonts w:hint="eastAsia"/>
          <w:sz w:val="24"/>
        </w:rPr>
        <w:t>。 这类菌群并非通过外部干预引入，而是自生命早期阶段起，在出生方式、遗传、摄食模式、环境等因素影响下，于宿主体内逐步发育并定殖</w:t>
      </w:r>
      <w:r>
        <w:rPr>
          <w:rFonts w:hint="eastAsia"/>
          <w:sz w:val="24"/>
          <w:vertAlign w:val="superscript"/>
        </w:rPr>
        <w:t>[31]</w:t>
      </w:r>
      <w:r>
        <w:rPr>
          <w:rFonts w:hint="eastAsia"/>
          <w:sz w:val="24"/>
        </w:rPr>
        <w:t>。得益于其与宿主的长期协同进化，内源性益生菌展现出显著的稳定性与韧性，能够持续维持宿主微生态平衡并促进整体健康</w:t>
      </w:r>
      <w:r>
        <w:rPr>
          <w:rFonts w:hint="eastAsia"/>
          <w:sz w:val="24"/>
          <w:vertAlign w:val="superscript"/>
        </w:rPr>
        <w:t>[29]</w:t>
      </w:r>
      <w:r>
        <w:rPr>
          <w:rFonts w:hint="eastAsia"/>
          <w:sz w:val="24"/>
        </w:rPr>
        <w:t>。外源性益生菌则以“临时共同体”的身份存在，主要通过富含益生菌的饵料投喂或膳食补充剂等外部干预途径引入宿主体内</w:t>
      </w:r>
      <w:r>
        <w:rPr>
          <w:rFonts w:hint="eastAsia"/>
          <w:sz w:val="24"/>
          <w:vertAlign w:val="superscript"/>
        </w:rPr>
        <w:t>[32]</w:t>
      </w:r>
      <w:r>
        <w:rPr>
          <w:rFonts w:hint="eastAsia"/>
          <w:sz w:val="24"/>
        </w:rPr>
        <w:t>。与内源性益生菌不同，外源性益生菌无法在宿主体内实现永久性定殖，其存在具有显著的时效性特征。因此，这类菌群主要被应用于短期调节宿主生理机能或恢复微生态平衡</w:t>
      </w:r>
      <w:r>
        <w:rPr>
          <w:rFonts w:hint="eastAsia"/>
          <w:sz w:val="24"/>
          <w:vertAlign w:val="superscript"/>
        </w:rPr>
        <w:t>[33]</w:t>
      </w:r>
      <w:r>
        <w:rPr>
          <w:rFonts w:hint="eastAsia"/>
          <w:sz w:val="24"/>
        </w:rPr>
        <w:t>。</w:t>
      </w:r>
    </w:p>
    <w:p w14:paraId="269614C9">
      <w:pPr>
        <w:spacing w:line="360" w:lineRule="auto"/>
        <w:ind w:firstLine="480" w:firstLineChars="200"/>
        <w:rPr>
          <w:rFonts w:hint="eastAsia"/>
          <w:sz w:val="24"/>
        </w:rPr>
      </w:pPr>
      <w:r>
        <w:rPr>
          <w:rFonts w:hint="eastAsia"/>
          <w:sz w:val="24"/>
        </w:rPr>
        <w:t>虽然内源性益生菌与外源性益生菌在起源、 定殖特性及作用机制上存在显著差异，但两者在维护宿主的整体健康方面往往呈现协同互补的生态功能</w:t>
      </w:r>
      <w:r>
        <w:rPr>
          <w:rFonts w:hint="eastAsia"/>
          <w:sz w:val="24"/>
          <w:vertAlign w:val="superscript"/>
        </w:rPr>
        <w:t>[34]</w:t>
      </w:r>
      <w:r>
        <w:rPr>
          <w:rFonts w:hint="eastAsia"/>
          <w:sz w:val="24"/>
        </w:rPr>
        <w:t>。具体而言，内源性益生菌作为宿主原 生微生物群的核心成员，其生理适配性更强，能够通过长期共生机制有效构建宿主免疫屏障，在疾病预防和健康稳态维持方面具有不可替代的优势；而外源性益生菌则凭借其靶向精准干预特性，既可以通过精准递送个性化菌株治疗明确症状，也能作为生物强化剂，辅助恢复或增强内源性益 生菌的定殖与稳态</w:t>
      </w:r>
      <w:r>
        <w:rPr>
          <w:rFonts w:hint="eastAsia"/>
          <w:sz w:val="24"/>
          <w:vertAlign w:val="superscript"/>
        </w:rPr>
        <w:t>[29]</w:t>
      </w:r>
      <w:r>
        <w:rPr>
          <w:rFonts w:hint="eastAsia"/>
          <w:sz w:val="24"/>
        </w:rPr>
        <w:t>。二者的区分与整合使筛选出的益生菌得以更加系统地归入内源性和外源性框架，为精准选择适用于特定养殖环境的候选菌株提供了明确的科学依据。</w:t>
      </w:r>
    </w:p>
    <w:p w14:paraId="1B44DC5E">
      <w:pPr>
        <w:spacing w:line="360" w:lineRule="auto"/>
        <w:ind w:firstLine="480" w:firstLineChars="200"/>
        <w:rPr>
          <w:rFonts w:hint="eastAsia"/>
          <w:sz w:val="24"/>
        </w:rPr>
      </w:pPr>
      <w:r>
        <w:rPr>
          <w:rFonts w:hint="eastAsia"/>
          <w:sz w:val="24"/>
        </w:rPr>
        <w:t>此前，有研究将分离自刺参或其他水产物种本体的益生菌直接归类为“内源性益生菌”。但内 源性益生菌与外源性益生菌的分类涉及错综复杂 的生物学鉴别过程。在当前水产养殖行业对益生 菌产品安全性、功效性及稳定性提出更高要求的背景下，水产益生菌的来源鉴定和身份确认亟需结合宏基因组学、二代测序技术等现代分子生物学手段，并深入解析其代谢产物发挥作用的分子机制，以实现更精准的分类与评估</w:t>
      </w:r>
      <w:r>
        <w:rPr>
          <w:rFonts w:hint="eastAsia"/>
          <w:sz w:val="24"/>
          <w:vertAlign w:val="superscript"/>
        </w:rPr>
        <w:t>[27,35–36]</w:t>
      </w:r>
      <w:r>
        <w:rPr>
          <w:rFonts w:hint="eastAsia"/>
          <w:sz w:val="24"/>
        </w:rPr>
        <w:t>。这种基于多组学整合的分析范式，不仅能够提升益生菌产品的科学可信度，也为行业监管提供了更可靠 的依据。近年来已有学者尝试借助“分子钟”技术，对宿主体内分离的细菌共生体的进化起源时间进 行校准与推断，从而更准确地判别细菌与宿主的 长期协同进化关系</w:t>
      </w:r>
      <w:r>
        <w:rPr>
          <w:rFonts w:hint="eastAsia"/>
          <w:sz w:val="24"/>
          <w:vertAlign w:val="superscript"/>
        </w:rPr>
        <w:t>[37]</w:t>
      </w:r>
      <w:r>
        <w:rPr>
          <w:rFonts w:hint="eastAsia"/>
          <w:sz w:val="24"/>
        </w:rPr>
        <w:t>。这一技术突破使得发掘水 生动物体内低副作用的古菌等兼具内源环境适应 性与外源加工相容性的潜在下一代益生菌成为可能，亦契合水产饲料行业对高效且兼具益生潜力 与工艺适配性的新型菌种资源的迫切需求</w:t>
      </w:r>
      <w:r>
        <w:rPr>
          <w:rFonts w:hint="eastAsia"/>
          <w:sz w:val="24"/>
          <w:vertAlign w:val="superscript"/>
        </w:rPr>
        <w:t>[38]</w:t>
      </w:r>
      <w:r>
        <w:rPr>
          <w:rFonts w:hint="eastAsia"/>
          <w:sz w:val="24"/>
        </w:rPr>
        <w:t>。</w:t>
      </w:r>
    </w:p>
    <w:p w14:paraId="17CB3183">
      <w:pPr>
        <w:spacing w:line="360" w:lineRule="auto"/>
        <w:ind w:firstLine="480" w:firstLineChars="200"/>
        <w:rPr>
          <w:rFonts w:hint="eastAsia"/>
          <w:sz w:val="24"/>
        </w:rPr>
      </w:pPr>
      <w:r>
        <w:rPr>
          <w:rFonts w:hint="eastAsia"/>
          <w:sz w:val="24"/>
        </w:rPr>
        <w:t>3  珊瑚内共生菌对刺参益生菌的跨物种启示</w:t>
      </w:r>
    </w:p>
    <w:p w14:paraId="507785B4">
      <w:pPr>
        <w:spacing w:line="360" w:lineRule="auto"/>
        <w:ind w:firstLine="480" w:firstLineChars="200"/>
        <w:rPr>
          <w:rFonts w:hint="eastAsia"/>
          <w:sz w:val="24"/>
        </w:rPr>
      </w:pPr>
      <w:r>
        <w:rPr>
          <w:rFonts w:hint="eastAsia"/>
          <w:sz w:val="24"/>
        </w:rPr>
        <w:t>尽管水产益生菌的添加已证实能够一定程度 提升刺参的生长速率与免疫防御能力</w:t>
      </w:r>
      <w:r>
        <w:rPr>
          <w:rFonts w:hint="eastAsia"/>
          <w:sz w:val="24"/>
          <w:vertAlign w:val="superscript"/>
        </w:rPr>
        <w:t>[17,21]</w:t>
      </w:r>
      <w:r>
        <w:rPr>
          <w:rFonts w:hint="eastAsia"/>
          <w:sz w:val="24"/>
        </w:rPr>
        <w:t>，但现有 研究尚未发现能够有效增强刺参耐热性能的益生对环境温度的敏感性极高，海水温度升高已成为影响其适应性进化轨迹、地理分布格局和种群动态稳定性的关键生态驱动因子</w:t>
      </w:r>
      <w:r>
        <w:rPr>
          <w:rFonts w:hint="eastAsia"/>
          <w:sz w:val="24"/>
          <w:vertAlign w:val="superscript"/>
        </w:rPr>
        <w:t>[39]</w:t>
      </w:r>
      <w:r>
        <w:rPr>
          <w:rFonts w:hint="eastAsia"/>
          <w:sz w:val="24"/>
        </w:rPr>
        <w:t>。当面临高温胁迫时，刺参通常会启动独特的夏眠机制以应对热应激</w:t>
      </w:r>
      <w:r>
        <w:rPr>
          <w:rFonts w:hint="eastAsia"/>
          <w:sz w:val="24"/>
          <w:vertAlign w:val="superscript"/>
        </w:rPr>
        <w:t>[39]</w:t>
      </w:r>
      <w:r>
        <w:rPr>
          <w:rFonts w:hint="eastAsia"/>
          <w:sz w:val="24"/>
        </w:rPr>
        <w:t>，表现为代谢活动显著抑制、摄食行为完  全停止等生理特征。然而这一适应性策略同时伴  随显著的生理代价：在夏眠期间，刺参肠道结构发生功能性退化，体重持续下降，导致营养供给中断与免疫防御能力系统性削弱，使其在高温环  境中更易遭受病原微生物侵袭</w:t>
      </w:r>
      <w:r>
        <w:rPr>
          <w:rFonts w:hint="eastAsia"/>
          <w:sz w:val="24"/>
          <w:vertAlign w:val="superscript"/>
        </w:rPr>
        <w:t>[40]</w:t>
      </w:r>
      <w:r>
        <w:rPr>
          <w:rFonts w:hint="eastAsia"/>
          <w:sz w:val="24"/>
        </w:rPr>
        <w:t>。此外，由于夏眠期间摄食行为完全停滞，外源性益生菌的持续补充面临显著挑战，进一步加剧了其健康风险</w:t>
      </w:r>
      <w:r>
        <w:rPr>
          <w:rFonts w:hint="eastAsia"/>
          <w:sz w:val="24"/>
          <w:vertAlign w:val="superscript"/>
        </w:rPr>
        <w:t>[41]</w:t>
      </w:r>
      <w:r>
        <w:rPr>
          <w:rFonts w:hint="eastAsia"/>
          <w:sz w:val="24"/>
        </w:rPr>
        <w:t>。 基于此，寻找增强刺参耐高温免疫特性的可持续干预策略具有重要的生态保护意义。</w:t>
      </w:r>
    </w:p>
    <w:p w14:paraId="136B1B05">
      <w:pPr>
        <w:spacing w:line="360" w:lineRule="auto"/>
        <w:ind w:firstLine="480" w:firstLineChars="200"/>
        <w:rPr>
          <w:rFonts w:hint="eastAsia"/>
          <w:sz w:val="24"/>
        </w:rPr>
      </w:pPr>
      <w:r>
        <w:rPr>
          <w:rFonts w:hint="eastAsia"/>
          <w:sz w:val="24"/>
        </w:rPr>
        <w:t>与刺参同样具有“畏热”特性的海洋无脊椎动物中，珊瑚种群堪称典型代表。因高温引发的珊瑚“白化现象”已成为全球海洋生态研究领域的核心议题，其生态影响与机制解析持续受到学界高度关注</w:t>
      </w:r>
      <w:r>
        <w:rPr>
          <w:rFonts w:hint="eastAsia"/>
          <w:sz w:val="24"/>
          <w:vertAlign w:val="superscript"/>
        </w:rPr>
        <w:t>[42]</w:t>
      </w:r>
      <w:r>
        <w:rPr>
          <w:rFonts w:hint="eastAsia"/>
          <w:sz w:val="24"/>
        </w:rPr>
        <w:t>。然而，一项突破性研究为这一难题提供了全新的解决视角与可行路径。一种基于进化基因组学筛选获得的珊瑚兼性内共生菌</w:t>
      </w:r>
      <w:r>
        <w:rPr>
          <w:rFonts w:hint="default" w:ascii="Times New Roman Italic" w:hAnsi="Times New Roman Italic" w:cs="Times New Roman Italic"/>
          <w:i/>
          <w:iCs/>
          <w:sz w:val="24"/>
        </w:rPr>
        <w:t xml:space="preserve"> Ruegeria </w:t>
      </w:r>
      <w:r>
        <w:rPr>
          <w:rFonts w:hint="default" w:ascii="Times New Roman" w:hAnsi="Times New Roman" w:cs="Times New Roman"/>
          <w:i w:val="0"/>
          <w:iCs w:val="0"/>
          <w:sz w:val="24"/>
        </w:rPr>
        <w:t xml:space="preserve"> MC10</w:t>
      </w:r>
      <w:r>
        <w:rPr>
          <w:rFonts w:hint="default" w:ascii="Times New Roman Italic" w:hAnsi="Times New Roman Italic" w:cs="Times New Roman Italic"/>
          <w:i/>
          <w:iCs/>
          <w:sz w:val="24"/>
        </w:rPr>
        <w:t xml:space="preserve"> </w:t>
      </w:r>
      <w:r>
        <w:rPr>
          <w:rFonts w:hint="eastAsia"/>
          <w:sz w:val="24"/>
        </w:rPr>
        <w:t>在成功定殖于宿主胃壁组织后，显著增强了霜鹿角珊瑚 (</w:t>
      </w:r>
      <w:r>
        <w:rPr>
          <w:rFonts w:hint="default" w:ascii="Times New Roman Italic" w:hAnsi="Times New Roman Italic" w:cs="Times New Roman Italic"/>
          <w:i/>
          <w:iCs/>
          <w:sz w:val="24"/>
        </w:rPr>
        <w:t>Acroporapruinosa</w:t>
      </w:r>
      <w:r>
        <w:rPr>
          <w:rFonts w:hint="eastAsia"/>
          <w:sz w:val="24"/>
        </w:rPr>
        <w:t>) 的耐热性，并在自然高温天气下显著降低了珊瑚的视觉白化程度</w:t>
      </w:r>
      <w:r>
        <w:rPr>
          <w:rFonts w:hint="eastAsia"/>
          <w:sz w:val="24"/>
          <w:vertAlign w:val="superscript"/>
        </w:rPr>
        <w:t>[43]</w:t>
      </w:r>
      <w:r>
        <w:rPr>
          <w:rFonts w:hint="eastAsia"/>
          <w:sz w:val="24"/>
        </w:rPr>
        <w:t>。 值得注意的是，该菌株在宿主体内持续稳定定殖了 8 个月，且期间无需施加任何额外的补充和干预。即便在后期菌群丰度降低的情况下，其功能特性仍能保持稳定</w:t>
      </w:r>
      <w:r>
        <w:rPr>
          <w:rFonts w:hint="eastAsia"/>
          <w:sz w:val="24"/>
          <w:vertAlign w:val="superscript"/>
        </w:rPr>
        <w:t>[43]</w:t>
      </w:r>
      <w:r>
        <w:rPr>
          <w:rFonts w:hint="eastAsia"/>
          <w:sz w:val="24"/>
        </w:rPr>
        <w:t>。</w:t>
      </w:r>
    </w:p>
    <w:p w14:paraId="33601E1D">
      <w:pPr>
        <w:spacing w:line="360" w:lineRule="auto"/>
        <w:ind w:firstLine="480" w:firstLineChars="200"/>
        <w:rPr>
          <w:rFonts w:hint="eastAsia"/>
          <w:sz w:val="24"/>
        </w:rPr>
      </w:pPr>
      <w:r>
        <w:rPr>
          <w:rFonts w:hint="eastAsia"/>
          <w:sz w:val="24"/>
        </w:rPr>
        <w:t>这一发现突破了传统水产益生菌基于表型特征的筛选方法，这种内共生菌采用以生活方式为导向的创新策略，重点关注那些已从自由生活转变为宿主依赖性共生转变 (即发生了不可逆转变)的细菌共生体，将其作为潜在的新型益生菌</w:t>
      </w:r>
      <w:r>
        <w:rPr>
          <w:rFonts w:hint="eastAsia"/>
          <w:sz w:val="24"/>
          <w:vertAlign w:val="superscript"/>
        </w:rPr>
        <w:t>[43]</w:t>
      </w:r>
      <w:r>
        <w:rPr>
          <w:rFonts w:hint="eastAsia"/>
          <w:sz w:val="24"/>
        </w:rPr>
        <w:t>。基因组进化分析表明，这类内共生菌呈现出独特的进化轨迹：其基因组结构趋向于削弱自身自由生活的能力，转而发展高度特化的宿主依赖性互作机制，从而实现在宿主体内的长期稳定定殖</w:t>
      </w:r>
      <w:r>
        <w:rPr>
          <w:rFonts w:hint="eastAsia"/>
          <w:sz w:val="24"/>
          <w:vertAlign w:val="superscript"/>
        </w:rPr>
        <w:t>[43]</w:t>
      </w:r>
      <w:r>
        <w:rPr>
          <w:rFonts w:hint="eastAsia"/>
          <w:sz w:val="24"/>
        </w:rPr>
        <w:t>。对于宿主而言，内共生菌高度兼容的共生关系具有显著优势，不仅降低了宿主适应新菌群的生态成本与风险，还能确保菌株功能特性的持续保留</w:t>
      </w:r>
      <w:r>
        <w:rPr>
          <w:rFonts w:hint="eastAsia"/>
          <w:sz w:val="24"/>
          <w:vertAlign w:val="superscript"/>
        </w:rPr>
        <w:t>[43]</w:t>
      </w:r>
      <w:r>
        <w:rPr>
          <w:rFonts w:hint="eastAsia"/>
          <w:sz w:val="24"/>
        </w:rPr>
        <w:t>。 更值得关注的是，内共生菌很可能通过协同进化机制，针对宿主所处极端环境发展出特异性益生菌菌株。作为典型的变温海洋无脊椎动物，刺参功能，并通过重塑宿主的生物学性状和适应性行为，协助宿主开拓新的生态位</w:t>
      </w:r>
      <w:r>
        <w:rPr>
          <w:rFonts w:hint="eastAsia"/>
          <w:sz w:val="24"/>
          <w:vertAlign w:val="superscript"/>
        </w:rPr>
        <w:t>[44]</w:t>
      </w:r>
      <w:r>
        <w:rPr>
          <w:rFonts w:hint="eastAsia"/>
          <w:sz w:val="24"/>
        </w:rPr>
        <w:t>。</w:t>
      </w:r>
    </w:p>
    <w:p w14:paraId="08B447FD">
      <w:pPr>
        <w:spacing w:line="360" w:lineRule="auto"/>
        <w:ind w:firstLine="480" w:firstLineChars="200"/>
        <w:rPr>
          <w:rFonts w:hint="eastAsia"/>
          <w:sz w:val="24"/>
        </w:rPr>
      </w:pPr>
      <w:r>
        <w:rPr>
          <w:rFonts w:hint="eastAsia"/>
          <w:sz w:val="24"/>
        </w:rPr>
        <w:t>综上所述，内共生益生菌的研究范式可能代表着对现有内源性与外源性益生菌认知框架的超越，其指向的是一种更高级、整合性更强的宿主-微生物互作模式。在这一创新框架下，内源性益生菌凭借其与宿主既有的共生关系及天然的宿主适应性，或可被视为未来开发内共生益生菌的理想起点与关键研究对象。这一在珊瑚种群研究中取得的重大突破，不仅为海洋无脊椎动物耐热机制研究提供了新视角，更为筛选可提升刺参耐高温能力的内共生益生菌开辟了全新的研究路径。</w:t>
      </w:r>
    </w:p>
    <w:p w14:paraId="0A2B6189">
      <w:pPr>
        <w:spacing w:line="360" w:lineRule="auto"/>
        <w:ind w:firstLine="480" w:firstLineChars="200"/>
        <w:rPr>
          <w:rFonts w:hint="eastAsia"/>
          <w:sz w:val="24"/>
        </w:rPr>
      </w:pPr>
      <w:r>
        <w:rPr>
          <w:rFonts w:hint="eastAsia"/>
          <w:sz w:val="24"/>
        </w:rPr>
        <w:t>4  刺参内共生益生菌的开发前景与挑战</w:t>
      </w:r>
    </w:p>
    <w:p w14:paraId="35B87F17">
      <w:pPr>
        <w:spacing w:line="360" w:lineRule="auto"/>
        <w:ind w:firstLine="480" w:firstLineChars="200"/>
        <w:rPr>
          <w:rFonts w:hint="eastAsia"/>
          <w:sz w:val="24"/>
        </w:rPr>
      </w:pPr>
      <w:r>
        <w:rPr>
          <w:rFonts w:hint="eastAsia"/>
          <w:sz w:val="24"/>
        </w:rPr>
        <w:t>鉴于珊瑚鲁杰氏菌 (</w:t>
      </w:r>
      <w:r>
        <w:rPr>
          <w:rFonts w:hint="default" w:ascii="Times New Roman Italic" w:hAnsi="Times New Roman Italic" w:cs="Times New Roman Italic"/>
          <w:i/>
          <w:iCs/>
          <w:sz w:val="24"/>
        </w:rPr>
        <w:t>Ruegeria</w:t>
      </w:r>
      <w:r>
        <w:rPr>
          <w:rFonts w:hint="eastAsia"/>
          <w:sz w:val="24"/>
        </w:rPr>
        <w:t>) 已通过实验验证其显著的益生效果，可将其作为候选菌株，系统评估其在刺参种群开发中的可行性。这一研究思路的提出，不仅基于该菌株在珊瑚共生体系中的成功应用，更源于对“先锋微生物 (Pioneerbacteria)”概念的深入追溯。早在“内源性益生菌”被准确定义之前，学界已提出“先锋微生物”这一概念，特指在宿主早期生命阶段最先定殖并建立共生关系的微生物类群</w:t>
      </w:r>
      <w:r>
        <w:rPr>
          <w:rFonts w:hint="eastAsia"/>
          <w:sz w:val="24"/>
          <w:vertAlign w:val="superscript"/>
        </w:rPr>
        <w:t>[45-47]</w:t>
      </w:r>
      <w:r>
        <w:rPr>
          <w:rFonts w:hint="eastAsia"/>
          <w:sz w:val="24"/>
        </w:rPr>
        <w:t>。研究表明，这类微生物不仅会随宿主生活史进程及早期生活环境发生动态演替，其与宿主生理行为的关联性也已在雏鸡和幼鱼中得到验证</w:t>
      </w:r>
      <w:r>
        <w:rPr>
          <w:rFonts w:hint="eastAsia"/>
          <w:sz w:val="24"/>
          <w:vertAlign w:val="superscript"/>
        </w:rPr>
        <w:t>[48-50]</w:t>
      </w:r>
      <w:r>
        <w:rPr>
          <w:rFonts w:hint="eastAsia"/>
          <w:sz w:val="24"/>
        </w:rPr>
        <w:t>。基于此，有学者创新性地提出将先锋微生物应用于农业和水产养殖领域，并系统开展了刺参完整早期生命阶段的先锋微生物群研究</w:t>
      </w:r>
      <w:r>
        <w:rPr>
          <w:rFonts w:hint="eastAsia"/>
          <w:sz w:val="24"/>
          <w:vertAlign w:val="superscript"/>
        </w:rPr>
        <w:t>[51]</w:t>
      </w:r>
      <w:r>
        <w:rPr>
          <w:rFonts w:hint="eastAsia"/>
          <w:sz w:val="24"/>
        </w:rPr>
        <w:t>。该研究揭示，在刺参的受精卵、囊  胚、晚耳状幼虫和幼体等关键发育阶段，鲁杰氏菌作为可培养的关键先锋微生物之一， 已与宿主建立稳定的共生关系，并贯穿刺参消化系统发育及个体成熟全过程</w:t>
      </w:r>
      <w:r>
        <w:rPr>
          <w:rFonts w:hint="eastAsia"/>
          <w:sz w:val="24"/>
          <w:vertAlign w:val="superscript"/>
        </w:rPr>
        <w:t>[51–52]</w:t>
      </w:r>
      <w:r>
        <w:rPr>
          <w:rFonts w:hint="eastAsia"/>
          <w:sz w:val="24"/>
        </w:rPr>
        <w:t>。这种贯穿宿主生命周期的稳定定殖特性，暗示鲁杰氏菌很可能与其他先锋微生物协同发挥重要的生理调节作用，为其成为刺参内源性益生菌奠定了坚实的生物学基础[51]。</w:t>
      </w:r>
    </w:p>
    <w:p w14:paraId="2DCDAF39">
      <w:pPr>
        <w:spacing w:line="360" w:lineRule="auto"/>
        <w:ind w:firstLine="480" w:firstLineChars="200"/>
        <w:rPr>
          <w:rFonts w:hint="eastAsia"/>
          <w:sz w:val="24"/>
        </w:rPr>
      </w:pPr>
      <w:r>
        <w:rPr>
          <w:rFonts w:hint="eastAsia"/>
          <w:sz w:val="24"/>
        </w:rPr>
        <w:t>基于增强刺参耐高温特性的目标，菌株在高 温胁迫下的共生稳定性成为关键评估指标。此前的一项研究发现，在夏季异常炎热的水温条件下，刺参肠道细菌群落展现出对高温胁迫的快速响应 机制，特定优势菌群发生显著演替，整体群落结 构通过适应性调整以应对高温环境</w:t>
      </w:r>
      <w:r>
        <w:rPr>
          <w:rFonts w:hint="eastAsia"/>
          <w:sz w:val="24"/>
          <w:vertAlign w:val="superscript"/>
        </w:rPr>
        <w:t>[53]</w:t>
      </w:r>
      <w:r>
        <w:rPr>
          <w:rFonts w:hint="eastAsia"/>
          <w:sz w:val="24"/>
        </w:rPr>
        <w:t>。部分细菌 类群受到抑制，而鲁杰氏菌的相对丰度则显著上升，展现出独特的耐高温共生能力</w:t>
      </w:r>
      <w:r>
        <w:rPr>
          <w:rFonts w:hint="eastAsia"/>
          <w:sz w:val="24"/>
          <w:vertAlign w:val="superscript"/>
        </w:rPr>
        <w:t>[53]</w:t>
      </w:r>
      <w:r>
        <w:rPr>
          <w:rFonts w:hint="eastAsia"/>
          <w:sz w:val="24"/>
        </w:rPr>
        <w:t>。这一特性在热带海域的黑海参 (</w:t>
      </w:r>
      <w:r>
        <w:rPr>
          <w:rFonts w:hint="default" w:ascii="Times New Roman Italic" w:hAnsi="Times New Roman Italic" w:cs="Times New Roman Italic"/>
          <w:i/>
          <w:iCs/>
          <w:sz w:val="24"/>
        </w:rPr>
        <w:t>Holothuria atra</w:t>
      </w:r>
      <w:r>
        <w:rPr>
          <w:rFonts w:hint="eastAsia"/>
          <w:sz w:val="24"/>
        </w:rPr>
        <w:t>) 和玉足海参 (</w:t>
      </w:r>
      <w:r>
        <w:rPr>
          <w:rFonts w:hint="default" w:ascii="Times New Roman Italic" w:hAnsi="Times New Roman Italic" w:cs="Times New Roman Italic"/>
          <w:i/>
          <w:iCs/>
          <w:sz w:val="24"/>
        </w:rPr>
        <w:t>H. leucospilota</w:t>
      </w:r>
      <w:r>
        <w:rPr>
          <w:rFonts w:hint="default" w:ascii="Times New Roman" w:hAnsi="Times New Roman" w:cs="Times New Roman"/>
          <w:i w:val="0"/>
          <w:iCs w:val="0"/>
          <w:sz w:val="24"/>
        </w:rPr>
        <w:t>)</w:t>
      </w:r>
      <w:r>
        <w:rPr>
          <w:rFonts w:hint="eastAsia"/>
          <w:sz w:val="24"/>
        </w:rPr>
        <w:t xml:space="preserve"> 肠道菌群中得到进一步验证，鲁杰氏菌在这两种耐热性较强的海参中同样占据丰度优势</w:t>
      </w:r>
      <w:r>
        <w:rPr>
          <w:rFonts w:hint="eastAsia"/>
          <w:sz w:val="24"/>
          <w:vertAlign w:val="superscript"/>
        </w:rPr>
        <w:t>[54]</w:t>
      </w:r>
      <w:r>
        <w:rPr>
          <w:rFonts w:hint="eastAsia"/>
          <w:sz w:val="24"/>
        </w:rPr>
        <w:t>。</w:t>
      </w:r>
    </w:p>
    <w:p w14:paraId="5B38B889">
      <w:pPr>
        <w:spacing w:line="360" w:lineRule="auto"/>
        <w:ind w:firstLine="480" w:firstLineChars="200"/>
        <w:rPr>
          <w:rFonts w:hint="eastAsia"/>
          <w:sz w:val="24"/>
        </w:rPr>
      </w:pPr>
      <w:r>
        <w:rPr>
          <w:rFonts w:hint="eastAsia"/>
          <w:sz w:val="24"/>
        </w:rPr>
        <w:t>然而，现有研究仍存在显著的知识缺口，仅初步揭示了刺参先锋鲁杰氏菌作为内源性益生菌的潜力， 以及鲁杰氏菌在高温环境下与刺参宿主稳定的共生能力。至于该菌株是否符合兼性内共生菌的生物学特性，及其能否像在珊瑚种群中那样，在刺参体内持久发挥明确的耐高温促进作用还需进一步探究。这些关键问题的解答，将直接决定刺参鲁杰氏菌能否被成功开发为内共生益生菌。针对这一研究空白，未来工作应重点关注以下方向：系统开展刺参等水产动物潜在内共生益 生菌的分离、识别与鉴定；深入探究已具有益生功能表征的内共生菌对水产养殖物种耐高温免疫特性等关键生理行为的影响。通过填补水产养殖 领域内共生益生菌的研究空白，有望为内共生菌作为新型水产益生菌在绿色健康养殖和生态保护中的可持续应用提供创新视角。</w:t>
      </w:r>
    </w:p>
    <w:p w14:paraId="5559EC0E">
      <w:pPr>
        <w:spacing w:line="360" w:lineRule="auto"/>
        <w:ind w:firstLine="480" w:firstLineChars="200"/>
        <w:rPr>
          <w:sz w:val="24"/>
        </w:rPr>
      </w:pPr>
    </w:p>
    <w:p w14:paraId="4230A845">
      <w:pPr>
        <w:spacing w:line="360" w:lineRule="auto"/>
        <w:jc w:val="center"/>
        <w:rPr>
          <w:sz w:val="24"/>
        </w:rPr>
      </w:pPr>
    </w:p>
    <w:p w14:paraId="1F106047">
      <w:pPr>
        <w:rPr>
          <w:rFonts w:hint="eastAsia" w:ascii="宋体" w:hAnsi="宋体" w:cs="宋体"/>
          <w:sz w:val="24"/>
        </w:rPr>
      </w:pPr>
      <w:r>
        <w:rPr>
          <w:rFonts w:hint="eastAsia" w:ascii="宋体" w:hAnsi="宋体" w:cs="宋体"/>
          <w:sz w:val="24"/>
        </w:rPr>
        <w:t>参考文献：略</w:t>
      </w:r>
    </w:p>
    <w:p w14:paraId="1CB4A2CC">
      <w:pPr>
        <w:spacing w:line="360" w:lineRule="auto"/>
        <w:jc w:val="right"/>
        <w:rPr>
          <w:rFonts w:hint="eastAsia"/>
          <w:szCs w:val="21"/>
        </w:rPr>
      </w:pPr>
      <w:r>
        <w:rPr>
          <w:szCs w:val="21"/>
        </w:rPr>
        <w:t>原文刊登在《</w:t>
      </w:r>
      <w:r>
        <w:rPr>
          <w:rFonts w:hint="eastAsia"/>
          <w:szCs w:val="21"/>
          <w:lang w:val="en-US" w:eastAsia="zh-CN"/>
        </w:rPr>
        <w:t>水产学报</w:t>
      </w:r>
      <w:r>
        <w:rPr>
          <w:szCs w:val="21"/>
        </w:rPr>
        <w:t>》</w:t>
      </w:r>
      <w:r>
        <w:rPr>
          <w:rFonts w:hint="eastAsia"/>
          <w:szCs w:val="21"/>
        </w:rPr>
        <w:t>2026年第</w:t>
      </w:r>
      <w:r>
        <w:rPr>
          <w:rFonts w:hint="eastAsia"/>
          <w:szCs w:val="21"/>
          <w:lang w:val="en-US" w:eastAsia="zh-CN"/>
        </w:rPr>
        <w:t>7</w:t>
      </w:r>
      <w:r>
        <w:rPr>
          <w:rFonts w:hint="eastAsia"/>
          <w:szCs w:val="21"/>
        </w:rPr>
        <w:t>期</w:t>
      </w:r>
    </w:p>
    <w:p w14:paraId="46161AE7">
      <w:pPr>
        <w:spacing w:line="360" w:lineRule="auto"/>
        <w:ind w:right="1281"/>
        <w:outlineLvl w:val="0"/>
        <w:rPr>
          <w:rFonts w:eastAsia="黑体"/>
          <w:b/>
          <w:bCs/>
          <w:sz w:val="32"/>
          <w:szCs w:val="32"/>
          <w:bdr w:val="single" w:color="auto" w:sz="4" w:space="0"/>
        </w:rPr>
      </w:pPr>
      <w:bookmarkStart w:id="15" w:name="_Toc229603698"/>
      <w:r>
        <w:rPr>
          <w:rFonts w:eastAsia="黑体"/>
          <w:b/>
          <w:bCs/>
          <w:sz w:val="32"/>
          <w:szCs w:val="32"/>
          <w:bdr w:val="single" w:color="auto" w:sz="4" w:space="0"/>
        </w:rPr>
        <w:t>科学研究</w:t>
      </w:r>
      <w:bookmarkEnd w:id="15"/>
    </w:p>
    <w:p w14:paraId="063EA1EF">
      <w:pPr>
        <w:jc w:val="center"/>
        <w:outlineLvl w:val="1"/>
        <w:rPr>
          <w:rFonts w:hint="eastAsia" w:ascii="黑体" w:hAnsi="黑体" w:eastAsia="黑体"/>
          <w:b/>
          <w:bCs/>
          <w:sz w:val="32"/>
          <w:szCs w:val="32"/>
        </w:rPr>
      </w:pPr>
      <w:r>
        <w:rPr>
          <w:rFonts w:hint="eastAsia" w:ascii="黑体" w:hAnsi="黑体" w:eastAsia="黑体"/>
          <w:b/>
          <w:bCs/>
          <w:sz w:val="32"/>
          <w:szCs w:val="32"/>
        </w:rPr>
        <w:t>饲料蛋白质水平对瓦氏黄颡鱼雌性亲本生长性能、</w:t>
      </w:r>
    </w:p>
    <w:p w14:paraId="0611A0FF">
      <w:pPr>
        <w:jc w:val="center"/>
        <w:outlineLvl w:val="1"/>
        <w:rPr>
          <w:rFonts w:hint="eastAsia" w:ascii="黑体" w:hAnsi="黑体" w:eastAsia="黑体"/>
          <w:b/>
          <w:bCs/>
          <w:sz w:val="32"/>
          <w:szCs w:val="32"/>
        </w:rPr>
      </w:pPr>
      <w:r>
        <w:rPr>
          <w:rFonts w:hint="eastAsia" w:ascii="黑体" w:hAnsi="黑体" w:eastAsia="黑体"/>
          <w:b/>
          <w:bCs/>
          <w:sz w:val="32"/>
          <w:szCs w:val="32"/>
        </w:rPr>
        <w:t>繁殖性能及仔鱼质量的影响</w:t>
      </w:r>
    </w:p>
    <w:p w14:paraId="65C34B81">
      <w:pPr>
        <w:jc w:val="center"/>
        <w:rPr>
          <w:rFonts w:hint="eastAsia"/>
          <w:szCs w:val="21"/>
          <w:vertAlign w:val="superscript"/>
        </w:rPr>
      </w:pPr>
      <w:r>
        <w:rPr>
          <w:rFonts w:hint="eastAsia"/>
          <w:szCs w:val="21"/>
        </w:rPr>
        <w:t>刘奇行</w:t>
      </w:r>
      <w:r>
        <w:rPr>
          <w:rFonts w:hint="eastAsia"/>
          <w:szCs w:val="21"/>
          <w:vertAlign w:val="superscript"/>
        </w:rPr>
        <w:t>１</w:t>
      </w:r>
      <w:r>
        <w:rPr>
          <w:rFonts w:hint="eastAsia"/>
          <w:szCs w:val="21"/>
        </w:rPr>
        <w:t xml:space="preserve"> 彭 迪</w:t>
      </w:r>
      <w:r>
        <w:rPr>
          <w:rFonts w:hint="eastAsia"/>
          <w:szCs w:val="21"/>
          <w:vertAlign w:val="superscript"/>
        </w:rPr>
        <w:t xml:space="preserve">２ </w:t>
      </w:r>
      <w:r>
        <w:rPr>
          <w:rFonts w:hint="eastAsia"/>
          <w:szCs w:val="21"/>
        </w:rPr>
        <w:t>董立学</w:t>
      </w:r>
      <w:r>
        <w:rPr>
          <w:rFonts w:hint="eastAsia"/>
          <w:szCs w:val="21"/>
          <w:vertAlign w:val="superscript"/>
        </w:rPr>
        <w:t>２</w:t>
      </w:r>
      <w:r>
        <w:rPr>
          <w:rFonts w:hint="eastAsia"/>
          <w:szCs w:val="21"/>
        </w:rPr>
        <w:t xml:space="preserve"> 程 珂</w:t>
      </w:r>
      <w:r>
        <w:rPr>
          <w:rFonts w:hint="eastAsia"/>
          <w:szCs w:val="21"/>
          <w:vertAlign w:val="superscript"/>
        </w:rPr>
        <w:t>２</w:t>
      </w:r>
      <w:r>
        <w:rPr>
          <w:rFonts w:hint="eastAsia"/>
          <w:szCs w:val="21"/>
        </w:rPr>
        <w:t xml:space="preserve"> 刘明典</w:t>
      </w:r>
      <w:r>
        <w:rPr>
          <w:rFonts w:hint="eastAsia"/>
          <w:szCs w:val="21"/>
          <w:vertAlign w:val="superscript"/>
        </w:rPr>
        <w:t>２</w:t>
      </w:r>
      <w:r>
        <w:rPr>
          <w:rFonts w:hint="eastAsia"/>
          <w:szCs w:val="21"/>
        </w:rPr>
        <w:t xml:space="preserve"> 王爱琴</w:t>
      </w:r>
      <w:r>
        <w:rPr>
          <w:rFonts w:hint="eastAsia"/>
          <w:szCs w:val="21"/>
          <w:vertAlign w:val="superscript"/>
        </w:rPr>
        <w:t>３</w:t>
      </w:r>
      <w:r>
        <w:rPr>
          <w:rFonts w:hint="eastAsia"/>
          <w:szCs w:val="21"/>
        </w:rPr>
        <w:t xml:space="preserve"> 易提林</w:t>
      </w:r>
      <w:r>
        <w:rPr>
          <w:rFonts w:hint="eastAsia"/>
          <w:szCs w:val="21"/>
          <w:vertAlign w:val="superscript"/>
        </w:rPr>
        <w:t>２∗</w:t>
      </w:r>
      <w:r>
        <w:rPr>
          <w:rFonts w:hint="eastAsia"/>
          <w:szCs w:val="21"/>
        </w:rPr>
        <w:t xml:space="preserve"> 蒋 明</w:t>
      </w:r>
      <w:r>
        <w:rPr>
          <w:rFonts w:hint="eastAsia"/>
          <w:szCs w:val="21"/>
          <w:vertAlign w:val="superscript"/>
        </w:rPr>
        <w:t>２</w:t>
      </w:r>
    </w:p>
    <w:p w14:paraId="442B8752">
      <w:pPr>
        <w:jc w:val="center"/>
        <w:rPr>
          <w:rFonts w:hint="default" w:ascii="Times New Roman Regular" w:hAnsi="Times New Roman Regular" w:cs="Times New Roman Regular"/>
          <w:szCs w:val="21"/>
        </w:rPr>
      </w:pPr>
      <w:r>
        <w:rPr>
          <w:rFonts w:hint="eastAsia"/>
          <w:szCs w:val="21"/>
          <w:vertAlign w:val="superscript"/>
        </w:rPr>
        <w:t>∗</w:t>
      </w:r>
      <w:r>
        <w:rPr>
          <w:rFonts w:hint="eastAsia"/>
          <w:szCs w:val="21"/>
        </w:rPr>
        <w:t>(</w:t>
      </w:r>
      <w:r>
        <w:rPr>
          <w:rFonts w:hint="default" w:ascii="Times New Roman Regular" w:hAnsi="Times New Roman Regular" w:cs="Times New Roman Regular"/>
          <w:szCs w:val="21"/>
        </w:rPr>
        <w:t xml:space="preserve"> 1.长江大学动物科学技术学院 ，荆州 434023;2. 中国水产科学研究院长江水产研究所 ，武汉 430223 ;</w:t>
      </w:r>
    </w:p>
    <w:p w14:paraId="033910E2">
      <w:pPr>
        <w:jc w:val="center"/>
        <w:rPr>
          <w:szCs w:val="21"/>
        </w:rPr>
      </w:pPr>
      <w:r>
        <w:rPr>
          <w:rFonts w:hint="default" w:ascii="Times New Roman Regular" w:hAnsi="Times New Roman Regular" w:cs="Times New Roman Regular"/>
          <w:szCs w:val="21"/>
        </w:rPr>
        <w:t>3.武昌首义学院城市建设学院 ，武汉 430064</w:t>
      </w:r>
      <w:r>
        <w:rPr>
          <w:rFonts w:hint="eastAsia"/>
          <w:szCs w:val="21"/>
        </w:rPr>
        <w:t>)</w:t>
      </w:r>
    </w:p>
    <w:p w14:paraId="19572AE6">
      <w:pPr>
        <w:rPr>
          <w:szCs w:val="21"/>
        </w:rPr>
      </w:pPr>
      <w:r>
        <w:rPr>
          <w:b/>
          <w:bCs/>
          <w:szCs w:val="21"/>
        </w:rPr>
        <w:t>摘要</w:t>
      </w:r>
      <w:r>
        <w:rPr>
          <w:rFonts w:hint="eastAsia"/>
          <w:b/>
          <w:bCs/>
          <w:szCs w:val="21"/>
        </w:rPr>
        <w:t>：</w:t>
      </w:r>
      <w:r>
        <w:rPr>
          <w:rFonts w:hint="eastAsia"/>
          <w:szCs w:val="21"/>
        </w:rPr>
        <w:t xml:space="preserve">本试验旨在探究饲料蛋白质水平对瓦氏黄颡鱼雌性亲本生长性能、繁殖性能及仔鱼质量的影响 。选取 300 尾初始体重为( 167.63 ±5.98) g 的瓦氏黄颡鱼雌性亲本，随机分为 5 组 ，每组 3 个重复 ，每个重复 20 尾鱼 。5 组分别投喂蛋白质水平为 34.27% ( P1 组）、40.85% ( P2 组）、47.45%( P3 组）、54. 14% ( P4 组）和 60.63% ( P5 组）的等脂试验饲料 ，进行为期 77 d 的养殖试验 。结果表明：1) P3、P4 及 P5 组终末体重、增重率和特定生长率均显著高于 P1 和 P2 组( </w:t>
      </w:r>
      <w:r>
        <w:rPr>
          <w:rFonts w:hint="default" w:ascii="Times New Roman Italic" w:hAnsi="Times New Roman Italic" w:cs="Times New Roman Italic"/>
          <w:i/>
          <w:iCs/>
          <w:szCs w:val="21"/>
        </w:rPr>
        <w:t>P</w:t>
      </w:r>
      <w:r>
        <w:rPr>
          <w:rFonts w:hint="eastAsia"/>
          <w:szCs w:val="21"/>
        </w:rPr>
        <w:t xml:space="preserve">&lt; 0.05) , 且以 P3 组最高 。2) P3 组绝对繁殖力和相对繁殖力显著高于 P1 组( </w:t>
      </w:r>
      <w:r>
        <w:rPr>
          <w:rFonts w:hint="default" w:ascii="Times New Roman Italic" w:hAnsi="Times New Roman Italic" w:cs="Times New Roman Italic"/>
          <w:i/>
          <w:iCs/>
          <w:szCs w:val="21"/>
        </w:rPr>
        <w:t>P</w:t>
      </w:r>
      <w:r>
        <w:rPr>
          <w:rFonts w:hint="eastAsia"/>
          <w:szCs w:val="21"/>
        </w:rPr>
        <w:t xml:space="preserve">&lt;0.05) ; 二次回归 分析结果显示 ，饲料蛋白质水平为 50.79%时 ，亲本相对繁殖力最高；P3 和 P4 组卵巢卵黄蛋白原 含量显著高于 P1 组( P&lt;0.05) 。3) P3 组血清谷丙转氨酶活性及甘油三酯含量显著低于 P1 组 ( </w:t>
      </w:r>
      <w:r>
        <w:rPr>
          <w:rFonts w:hint="default" w:ascii="Times New Roman Italic" w:hAnsi="Times New Roman Italic" w:cs="Times New Roman Italic"/>
          <w:i/>
          <w:iCs/>
          <w:szCs w:val="21"/>
        </w:rPr>
        <w:t>P</w:t>
      </w:r>
      <w:r>
        <w:rPr>
          <w:rFonts w:hint="eastAsia"/>
          <w:szCs w:val="21"/>
        </w:rPr>
        <w:t xml:space="preserve">&lt;0.05) ;P4 组肝脏超氧化物歧化酶活性显著高于其余各组( </w:t>
      </w:r>
      <w:r>
        <w:rPr>
          <w:rFonts w:hint="default" w:ascii="Times New Roman Italic" w:hAnsi="Times New Roman Italic" w:cs="Times New Roman Italic"/>
          <w:i/>
          <w:iCs/>
          <w:szCs w:val="21"/>
        </w:rPr>
        <w:t>P</w:t>
      </w:r>
      <w:r>
        <w:rPr>
          <w:rFonts w:hint="eastAsia"/>
          <w:szCs w:val="21"/>
        </w:rPr>
        <w:t xml:space="preserve">&lt;0.05) ;P5 组肝脏丙二醛含量 显著高于其余各组( </w:t>
      </w:r>
      <w:r>
        <w:rPr>
          <w:rFonts w:hint="default" w:ascii="Times New Roman Italic" w:hAnsi="Times New Roman Italic" w:cs="Times New Roman Italic"/>
          <w:i/>
          <w:iCs/>
          <w:szCs w:val="21"/>
        </w:rPr>
        <w:t>P</w:t>
      </w:r>
      <w:r>
        <w:rPr>
          <w:rFonts w:hint="eastAsia"/>
          <w:szCs w:val="21"/>
        </w:rPr>
        <w:t xml:space="preserve">&lt;0.05) 。4) P3、P4 及 P5 组仔鱼终末体重、增重率和存活率均显著高于 P1 组( </w:t>
      </w:r>
      <w:r>
        <w:rPr>
          <w:rFonts w:hint="default" w:ascii="Times New Roman Italic" w:hAnsi="Times New Roman Italic" w:cs="Times New Roman Italic"/>
          <w:i/>
          <w:iCs/>
          <w:szCs w:val="21"/>
        </w:rPr>
        <w:t>P</w:t>
      </w:r>
      <w:r>
        <w:rPr>
          <w:rFonts w:hint="eastAsia"/>
          <w:szCs w:val="21"/>
        </w:rPr>
        <w:t>&lt;0.05) 。 由此可见 ，饲料蛋白质水平为 47.45% ~ 54. 14%时 ，可改善瓦氏黄颡鱼雌性亲本的生长性能、繁殖性能及机体健康 ，并能提升仔鱼质量；而蛋白质水平过高( 60.63%) 可能诱发氧 化应激 ，对亲本健康产生不利影响 。综合二次回归分析结果 ，建议瓦氏黄颡鱼雌性亲本饲料蛋 白质水平为 47.45% ~ 50.79%。</w:t>
      </w:r>
    </w:p>
    <w:p w14:paraId="03086ACD">
      <w:pPr>
        <w:rPr>
          <w:szCs w:val="21"/>
        </w:rPr>
      </w:pPr>
      <w:r>
        <w:rPr>
          <w:b/>
          <w:bCs/>
          <w:szCs w:val="21"/>
        </w:rPr>
        <w:t>关键词</w:t>
      </w:r>
      <w:r>
        <w:rPr>
          <w:rFonts w:hint="eastAsia"/>
          <w:b/>
          <w:bCs/>
          <w:szCs w:val="21"/>
        </w:rPr>
        <w:t>：</w:t>
      </w:r>
      <w:r>
        <w:rPr>
          <w:rFonts w:hint="eastAsia"/>
          <w:szCs w:val="21"/>
        </w:rPr>
        <w:t>瓦氏黄颡鱼；雌性亲本；饲料蛋白质水平；生长性能；繁殖性能；仔鱼质量</w:t>
      </w:r>
    </w:p>
    <w:p w14:paraId="31EDEB1F">
      <w:pPr>
        <w:jc w:val="center"/>
        <w:rPr>
          <w:rFonts w:hint="eastAsia"/>
          <w:b/>
          <w:bCs/>
          <w:sz w:val="24"/>
        </w:rPr>
      </w:pPr>
      <w:r>
        <w:rPr>
          <w:rFonts w:hint="eastAsia"/>
          <w:b/>
          <w:bCs/>
          <w:sz w:val="24"/>
        </w:rPr>
        <w:t>Effects of Dietary Protein Levels on Growth Performance , Reproductive</w:t>
      </w:r>
    </w:p>
    <w:p w14:paraId="0C284BD5">
      <w:pPr>
        <w:jc w:val="center"/>
        <w:rPr>
          <w:rFonts w:hint="eastAsia"/>
          <w:b/>
          <w:bCs/>
          <w:sz w:val="24"/>
        </w:rPr>
      </w:pPr>
      <w:r>
        <w:rPr>
          <w:rFonts w:hint="eastAsia"/>
          <w:b/>
          <w:bCs/>
          <w:sz w:val="24"/>
        </w:rPr>
        <w:t>Performance and Larval Q uality of Female</w:t>
      </w:r>
    </w:p>
    <w:p w14:paraId="69096E1A">
      <w:pPr>
        <w:jc w:val="center"/>
        <w:rPr>
          <w:rFonts w:hint="eastAsia"/>
          <w:b/>
          <w:bCs/>
          <w:sz w:val="24"/>
        </w:rPr>
      </w:pPr>
      <w:r>
        <w:rPr>
          <w:rFonts w:hint="default" w:ascii="Times New Roman Bold Italic" w:hAnsi="Times New Roman Bold Italic" w:cs="Times New Roman Bold Italic"/>
          <w:b/>
          <w:bCs/>
          <w:i/>
          <w:iCs/>
          <w:sz w:val="24"/>
        </w:rPr>
        <w:t>Pelteobagrus vachelli</w:t>
      </w:r>
      <w:r>
        <w:rPr>
          <w:rFonts w:hint="eastAsia"/>
          <w:b/>
          <w:bCs/>
          <w:sz w:val="24"/>
        </w:rPr>
        <w:t xml:space="preserve"> Broodstock</w:t>
      </w:r>
    </w:p>
    <w:p w14:paraId="28E0C51C">
      <w:pPr>
        <w:jc w:val="center"/>
        <w:rPr>
          <w:rFonts w:hint="eastAsia"/>
          <w:szCs w:val="21"/>
        </w:rPr>
      </w:pPr>
      <w:r>
        <w:rPr>
          <w:rFonts w:hint="eastAsia"/>
          <w:szCs w:val="21"/>
        </w:rPr>
        <w:t>LIU Qihang</w:t>
      </w:r>
      <w:r>
        <w:rPr>
          <w:rFonts w:hint="eastAsia"/>
          <w:szCs w:val="21"/>
          <w:vertAlign w:val="superscript"/>
        </w:rPr>
        <w:t>1</w:t>
      </w:r>
      <w:r>
        <w:rPr>
          <w:rFonts w:hint="eastAsia"/>
          <w:szCs w:val="21"/>
        </w:rPr>
        <w:t xml:space="preserve"> PENG Di</w:t>
      </w:r>
      <w:r>
        <w:rPr>
          <w:rFonts w:hint="eastAsia"/>
          <w:szCs w:val="21"/>
          <w:vertAlign w:val="superscript"/>
        </w:rPr>
        <w:t>2</w:t>
      </w:r>
      <w:r>
        <w:rPr>
          <w:rFonts w:hint="eastAsia"/>
          <w:szCs w:val="21"/>
        </w:rPr>
        <w:t xml:space="preserve"> DONG Lixue</w:t>
      </w:r>
      <w:r>
        <w:rPr>
          <w:rFonts w:hint="eastAsia"/>
          <w:szCs w:val="21"/>
          <w:vertAlign w:val="superscript"/>
        </w:rPr>
        <w:t>2</w:t>
      </w:r>
      <w:r>
        <w:rPr>
          <w:rFonts w:hint="eastAsia"/>
          <w:szCs w:val="21"/>
        </w:rPr>
        <w:t xml:space="preserve"> CHENG Ke</w:t>
      </w:r>
      <w:r>
        <w:rPr>
          <w:rFonts w:hint="eastAsia"/>
          <w:szCs w:val="21"/>
          <w:vertAlign w:val="superscript"/>
        </w:rPr>
        <w:t>2</w:t>
      </w:r>
      <w:r>
        <w:rPr>
          <w:rFonts w:hint="eastAsia"/>
          <w:szCs w:val="21"/>
        </w:rPr>
        <w:t xml:space="preserve"> LIU Mingdian</w:t>
      </w:r>
      <w:r>
        <w:rPr>
          <w:rFonts w:hint="eastAsia"/>
          <w:szCs w:val="21"/>
          <w:vertAlign w:val="superscript"/>
        </w:rPr>
        <w:t>2</w:t>
      </w:r>
      <w:r>
        <w:rPr>
          <w:rFonts w:hint="eastAsia"/>
          <w:szCs w:val="21"/>
        </w:rPr>
        <w:t xml:space="preserve"> WANG Aiqin</w:t>
      </w:r>
      <w:r>
        <w:rPr>
          <w:rFonts w:hint="eastAsia"/>
          <w:szCs w:val="21"/>
          <w:vertAlign w:val="superscript"/>
        </w:rPr>
        <w:t>3</w:t>
      </w:r>
      <w:r>
        <w:rPr>
          <w:rFonts w:hint="eastAsia"/>
          <w:szCs w:val="21"/>
        </w:rPr>
        <w:t xml:space="preserve"> YI Tilin</w:t>
      </w:r>
      <w:r>
        <w:rPr>
          <w:rFonts w:hint="eastAsia"/>
          <w:szCs w:val="21"/>
          <w:vertAlign w:val="superscript"/>
        </w:rPr>
        <w:t xml:space="preserve">2 ∗ </w:t>
      </w:r>
      <w:r>
        <w:rPr>
          <w:rFonts w:hint="eastAsia"/>
          <w:szCs w:val="21"/>
        </w:rPr>
        <w:t>JIANG Ming</w:t>
      </w:r>
      <w:r>
        <w:rPr>
          <w:rFonts w:hint="eastAsia"/>
          <w:szCs w:val="21"/>
          <w:vertAlign w:val="superscript"/>
        </w:rPr>
        <w:t>2∗</w:t>
      </w:r>
    </w:p>
    <w:p w14:paraId="5AF9D05D">
      <w:pPr>
        <w:jc w:val="center"/>
        <w:rPr>
          <w:i/>
          <w:iCs/>
          <w:szCs w:val="21"/>
        </w:rPr>
      </w:pPr>
      <w:r>
        <w:rPr>
          <w:rFonts w:hint="eastAsia"/>
          <w:szCs w:val="21"/>
        </w:rPr>
        <w:t>(</w:t>
      </w:r>
      <w:r>
        <w:rPr>
          <w:rFonts w:hint="eastAsia"/>
          <w:i/>
          <w:iCs/>
          <w:szCs w:val="21"/>
        </w:rPr>
        <w:t>1. College of Animal Science and Technology , Yangtze University , Jingzhou 434023 , China ; 2. Yangtze River FisheriesResearch Institute , Chinese Academy of Fishery Sciences , Wuhan 430223 , China ; 3. School of</w:t>
      </w:r>
      <w:r>
        <w:rPr>
          <w:rFonts w:hint="eastAsia"/>
          <w:i/>
          <w:iCs/>
          <w:szCs w:val="21"/>
          <w:lang w:val="en-US" w:eastAsia="zh-CN"/>
        </w:rPr>
        <w:t xml:space="preserve"> </w:t>
      </w:r>
      <w:r>
        <w:rPr>
          <w:rFonts w:hint="eastAsia"/>
          <w:i/>
          <w:iCs/>
          <w:szCs w:val="21"/>
        </w:rPr>
        <w:t>Urban Construction , Wuchang Shouyi University , Wuhan 430064 , China</w:t>
      </w:r>
      <w:r>
        <w:rPr>
          <w:szCs w:val="21"/>
        </w:rPr>
        <w:t>)</w:t>
      </w:r>
    </w:p>
    <w:p w14:paraId="6A54D331">
      <w:pPr>
        <w:rPr>
          <w:rFonts w:hint="eastAsia"/>
          <w:szCs w:val="21"/>
        </w:rPr>
      </w:pPr>
      <w:r>
        <w:rPr>
          <w:b/>
          <w:bCs/>
          <w:szCs w:val="21"/>
        </w:rPr>
        <w:t>Abstract:</w:t>
      </w:r>
      <w:r>
        <w:rPr>
          <w:szCs w:val="21"/>
        </w:rPr>
        <w:t xml:space="preserve"> </w:t>
      </w:r>
      <w:r>
        <w:rPr>
          <w:rFonts w:hint="eastAsia"/>
          <w:szCs w:val="21"/>
        </w:rPr>
        <w:t xml:space="preserve">This experiment was conducted to investigate the effects of dietary protein levels on growth performance , reproductive performance and larval quality of female Pelteobagrus vachelli broodstock. A total of 300 female Pelteobagrus vachelli broodstock with an initial body weight of ( 167.63 ±5.98) g were randomly divided into 5 groups with 3 replicates per group and 20 fish per replicate. Fish in the 5 groups were fed isolipidic experimental diets with dietary protein levels of 34. 27% ( P1 group ) , 40. 85% ( P2 group ) , 47. 45% ( P3 group) , 54. 14% ( P4 group) and 60.63% ( P5 group) , respectively , for a 77day culture trial. The results showed as follows : The final body weight, weight gain rate and specific growth rate of P3 , P4 and P5 groups were significantly higher than those of P1 and P2 groups ( </w:t>
      </w:r>
      <w:r>
        <w:rPr>
          <w:rFonts w:hint="default" w:ascii="Times New Roman Italic" w:hAnsi="Times New Roman Italic" w:cs="Times New Roman Italic"/>
          <w:i/>
          <w:iCs/>
          <w:szCs w:val="21"/>
        </w:rPr>
        <w:t>P</w:t>
      </w:r>
      <w:r>
        <w:rPr>
          <w:rFonts w:hint="eastAsia"/>
          <w:szCs w:val="21"/>
        </w:rPr>
        <w:t xml:space="preserve">&lt;0.05) , with P3 group being the highest. 2) The absolute fecundity and relative fecundity of P3 group were significantly higher than those of P1 group ( </w:t>
      </w:r>
      <w:r>
        <w:rPr>
          <w:rFonts w:hint="default" w:ascii="Times New Roman Italic" w:hAnsi="Times New Roman Italic" w:cs="Times New Roman Italic"/>
          <w:i/>
          <w:iCs/>
          <w:szCs w:val="21"/>
        </w:rPr>
        <w:t>P</w:t>
      </w:r>
      <w:r>
        <w:rPr>
          <w:rFonts w:hint="eastAsia"/>
          <w:szCs w:val="21"/>
        </w:rPr>
        <w:t xml:space="preserve"> &lt; 0.05) . Quadratic regression analysis showed that the relative fecundity of broodstock reached the maximum when the dietary protein level was 50.79% . The ovarian vitellogenin content of P3 and P4 groups was significantly higher than that of P1 group ( </w:t>
      </w:r>
      <w:r>
        <w:rPr>
          <w:rFonts w:hint="default" w:ascii="Times New Roman Italic" w:hAnsi="Times New Roman Italic" w:cs="Times New Roman Italic"/>
          <w:i/>
          <w:iCs/>
          <w:szCs w:val="21"/>
        </w:rPr>
        <w:t>P</w:t>
      </w:r>
      <w:r>
        <w:rPr>
          <w:rFonts w:hint="eastAsia"/>
          <w:szCs w:val="21"/>
        </w:rPr>
        <w:t xml:space="preserve">&lt;0.05) . 3) The serum alanine aminotransferase activity and triglyceride content of P3 group were significantly lower than those of P1 group ( </w:t>
      </w:r>
      <w:r>
        <w:rPr>
          <w:rFonts w:hint="default" w:ascii="Times New Roman Italic" w:hAnsi="Times New Roman Italic" w:cs="Times New Roman Italic"/>
          <w:i/>
          <w:iCs/>
          <w:szCs w:val="21"/>
        </w:rPr>
        <w:t>P</w:t>
      </w:r>
      <w:r>
        <w:rPr>
          <w:rFonts w:hint="eastAsia"/>
          <w:szCs w:val="21"/>
        </w:rPr>
        <w:t>&lt;0. 05) . The hepatic superoxide dismutase activity of P4 group was significantly higher than that of the other groups (</w:t>
      </w:r>
      <w:r>
        <w:rPr>
          <w:rFonts w:hint="default" w:ascii="Times New Roman Italic" w:hAnsi="Times New Roman Italic" w:cs="Times New Roman Italic"/>
          <w:i/>
          <w:iCs/>
          <w:szCs w:val="21"/>
        </w:rPr>
        <w:t xml:space="preserve"> P</w:t>
      </w:r>
      <w:r>
        <w:rPr>
          <w:rFonts w:hint="eastAsia"/>
          <w:szCs w:val="21"/>
        </w:rPr>
        <w:t xml:space="preserve">&lt;0.05) . The hepatic malondialdehyde content of P5 group was significantly higher than that of the other groups ( </w:t>
      </w:r>
      <w:r>
        <w:rPr>
          <w:rFonts w:hint="default" w:ascii="Times New Roman Italic" w:hAnsi="Times New Roman Italic" w:cs="Times New Roman Italic"/>
          <w:i/>
          <w:iCs/>
          <w:szCs w:val="21"/>
        </w:rPr>
        <w:t>P</w:t>
      </w:r>
      <w:r>
        <w:rPr>
          <w:rFonts w:hint="eastAsia"/>
          <w:szCs w:val="21"/>
        </w:rPr>
        <w:t xml:space="preserve">&lt;0.05) . 4) The final body weight, weight gain rate and survival rate of larvae in P3 , P4 and P5 groups were significantly higher than those in P1 group ( </w:t>
      </w:r>
      <w:r>
        <w:rPr>
          <w:rFonts w:hint="default" w:ascii="Times New Roman Italic" w:hAnsi="Times New Roman Italic" w:cs="Times New Roman Italic"/>
          <w:i/>
          <w:iCs/>
          <w:szCs w:val="21"/>
        </w:rPr>
        <w:t>P</w:t>
      </w:r>
      <w:r>
        <w:rPr>
          <w:rFonts w:hint="eastAsia"/>
          <w:szCs w:val="21"/>
        </w:rPr>
        <w:t xml:space="preserve">&lt;0.05) . It can be concluded that the dietary protein level of 47.45% ~ 54. 14% can improve the growth performance , reproductive performance and body health of female Pelteobagrus vachelli broodstock , and enhance the larval quality ; while an excessively high protein level ( 60.63%) may induce oxidative stress and have adverse effects on the health of broodstock. Based on the comprehensive results of quadratic regression analysis , it is recommended that the dietary protein level for female </w:t>
      </w:r>
      <w:r>
        <w:rPr>
          <w:rFonts w:hint="default" w:ascii="Times New Roman Italic" w:hAnsi="Times New Roman Italic" w:cs="Times New Roman Italic"/>
          <w:i/>
          <w:iCs/>
          <w:szCs w:val="21"/>
        </w:rPr>
        <w:t>Pelteobagrus vachelli</w:t>
      </w:r>
      <w:r>
        <w:rPr>
          <w:rFonts w:hint="eastAsia"/>
          <w:szCs w:val="21"/>
        </w:rPr>
        <w:t xml:space="preserve"> broodstock is 47.45% ~ 50.79% . </w:t>
      </w:r>
    </w:p>
    <w:p w14:paraId="717581BB">
      <w:pPr>
        <w:rPr>
          <w:i w:val="0"/>
          <w:iCs w:val="0"/>
          <w:szCs w:val="21"/>
        </w:rPr>
      </w:pPr>
      <w:r>
        <w:rPr>
          <w:b/>
          <w:bCs/>
          <w:szCs w:val="21"/>
        </w:rPr>
        <w:t>Keywords:</w:t>
      </w:r>
      <w:r>
        <w:rPr>
          <w:szCs w:val="21"/>
        </w:rPr>
        <w:t xml:space="preserve"> </w:t>
      </w:r>
      <w:r>
        <w:rPr>
          <w:rFonts w:hint="eastAsia"/>
          <w:i/>
          <w:iCs/>
          <w:szCs w:val="21"/>
        </w:rPr>
        <w:t xml:space="preserve">Pelteobagrus vachelli; </w:t>
      </w:r>
      <w:r>
        <w:rPr>
          <w:rFonts w:hint="eastAsia"/>
          <w:i w:val="0"/>
          <w:iCs w:val="0"/>
          <w:szCs w:val="21"/>
        </w:rPr>
        <w:t>female broodstock; dietary protein levels ; growth performance ; reproductive performance ; larval quality</w:t>
      </w:r>
    </w:p>
    <w:p w14:paraId="37ECD45B">
      <w:pPr>
        <w:spacing w:line="360" w:lineRule="auto"/>
        <w:ind w:firstLine="480" w:firstLineChars="200"/>
        <w:rPr>
          <w:rFonts w:hint="eastAsia"/>
          <w:sz w:val="24"/>
          <w:szCs w:val="21"/>
        </w:rPr>
      </w:pPr>
      <w:r>
        <w:rPr>
          <w:rFonts w:hint="eastAsia"/>
          <w:sz w:val="24"/>
          <w:szCs w:val="21"/>
        </w:rPr>
        <w:t>硬骨鱼类胚胎发育及早期仔鱼阶段的生存与生长高度依赖于卵内储存的营养物质。亲鱼的营养状况直接决定了卵子中营养物质的积累量与组成 ，从而在胚胎发育和仔鱼孵化后的营养供应中发挥关键作用</w:t>
      </w:r>
      <w:r>
        <w:rPr>
          <w:rFonts w:hint="eastAsia"/>
          <w:sz w:val="24"/>
          <w:szCs w:val="21"/>
          <w:lang w:eastAsia="zh-CN"/>
        </w:rPr>
        <w:t>，</w:t>
      </w:r>
      <w:r>
        <w:rPr>
          <w:rFonts w:hint="eastAsia"/>
          <w:sz w:val="24"/>
          <w:szCs w:val="21"/>
        </w:rPr>
        <w:t>并最终影响子代质量</w:t>
      </w:r>
      <w:r>
        <w:rPr>
          <w:rFonts w:hint="eastAsia"/>
          <w:sz w:val="24"/>
          <w:szCs w:val="21"/>
          <w:vertAlign w:val="superscript"/>
        </w:rPr>
        <w:t xml:space="preserve">[ 1-2] </w:t>
      </w:r>
      <w:r>
        <w:rPr>
          <w:rFonts w:hint="eastAsia"/>
          <w:sz w:val="24"/>
          <w:szCs w:val="21"/>
        </w:rPr>
        <w:t xml:space="preserve">。蛋白质是鱼类生命活动不可或缺的物质基础 ，不仅是肌肉、鳞片和器官的主要结构成分 ，还作为酶、激素（ 如生长激素和性激素）、卵黄蛋白和抗体的合成前体 ，参与机体的新陈代谢、免疫防御及繁殖调控 </w:t>
      </w:r>
      <w:r>
        <w:rPr>
          <w:rFonts w:hint="eastAsia"/>
          <w:sz w:val="24"/>
          <w:szCs w:val="21"/>
          <w:vertAlign w:val="superscript"/>
        </w:rPr>
        <w:t>[ 3-4]</w:t>
      </w:r>
      <w:r>
        <w:rPr>
          <w:rFonts w:hint="eastAsia"/>
          <w:sz w:val="24"/>
          <w:szCs w:val="21"/>
        </w:rPr>
        <w:t xml:space="preserve"> 。卵黄蛋白原( Vtg) 作为卵黄蛋白的前体 ，是卵黄蛋白组分的主要来源，其合成、转运与沉积过程直接受到亲鱼饲料中蛋白质水平与氨基酸组成的影响</w:t>
      </w:r>
      <w:r>
        <w:rPr>
          <w:rFonts w:hint="eastAsia"/>
          <w:sz w:val="24"/>
          <w:szCs w:val="21"/>
          <w:vertAlign w:val="superscript"/>
        </w:rPr>
        <w:t xml:space="preserve">[ 5] </w:t>
      </w:r>
      <w:r>
        <w:rPr>
          <w:rFonts w:hint="eastAsia"/>
          <w:sz w:val="24"/>
          <w:szCs w:val="21"/>
        </w:rPr>
        <w:t>。亲鱼饲料蛋白质水平不足或氨基酸组成失衡，不仅会限制亲鱼自身的生长和性腺发育 ，还会导致卵黄中蛋白质和必需氨基酸的储备不足，直接影响胚胎发育的能量供给、组织器官分化以及孵化后仔鱼的活力、畸形率、抗逆性和开口摄食成功率</w:t>
      </w:r>
      <w:r>
        <w:rPr>
          <w:rFonts w:hint="eastAsia"/>
          <w:sz w:val="24"/>
          <w:szCs w:val="21"/>
          <w:vertAlign w:val="superscript"/>
        </w:rPr>
        <w:t xml:space="preserve">[ 6] </w:t>
      </w:r>
      <w:r>
        <w:rPr>
          <w:rFonts w:hint="eastAsia"/>
          <w:sz w:val="24"/>
          <w:szCs w:val="21"/>
        </w:rPr>
        <w:t>。此外 ，亲鱼的生理状态 ，如 Vtg 合成能力、激素含量、抗氧化能力、消化吸收效率及免疫状态 ，也与其摄入的蛋白质营养密切相关</w:t>
      </w:r>
      <w:r>
        <w:rPr>
          <w:rFonts w:hint="eastAsia"/>
          <w:sz w:val="24"/>
          <w:szCs w:val="21"/>
          <w:vertAlign w:val="superscript"/>
        </w:rPr>
        <w:t xml:space="preserve">[ 7] </w:t>
      </w:r>
      <w:r>
        <w:rPr>
          <w:rFonts w:hint="eastAsia"/>
          <w:sz w:val="24"/>
          <w:szCs w:val="21"/>
        </w:rPr>
        <w:t>。</w:t>
      </w:r>
    </w:p>
    <w:p w14:paraId="69526503">
      <w:pPr>
        <w:spacing w:line="360" w:lineRule="auto"/>
        <w:ind w:firstLine="480" w:firstLineChars="200"/>
        <w:rPr>
          <w:rFonts w:hint="eastAsia"/>
          <w:sz w:val="24"/>
          <w:szCs w:val="21"/>
        </w:rPr>
      </w:pPr>
      <w:r>
        <w:rPr>
          <w:rFonts w:hint="eastAsia"/>
          <w:sz w:val="24"/>
          <w:szCs w:val="21"/>
        </w:rPr>
        <w:t>瓦氏黄颡鱼(</w:t>
      </w:r>
      <w:r>
        <w:rPr>
          <w:rFonts w:hint="default" w:ascii="Times New Roman Italic" w:hAnsi="Times New Roman Italic" w:cs="Times New Roman Italic"/>
          <w:i/>
          <w:iCs/>
          <w:sz w:val="24"/>
          <w:szCs w:val="21"/>
        </w:rPr>
        <w:t xml:space="preserve"> Pelteobagrus vachelli</w:t>
      </w:r>
      <w:r>
        <w:rPr>
          <w:rFonts w:hint="eastAsia"/>
          <w:sz w:val="24"/>
          <w:szCs w:val="21"/>
        </w:rPr>
        <w:t>) 隶属于鲇形目( Siluriformes) 鲿科( Bagridae) 黄颡鱼属( Pelteobagrus) , 是长江中下游流域特有的重要经济鱼类。因其肉质细嫩、无肌间刺、富含不饱和脂肪酸而深受消费者喜爱，是具有良好养殖前景的品种，在长江流域渔业经济中占有重要地位</w:t>
      </w:r>
      <w:r>
        <w:rPr>
          <w:rFonts w:hint="eastAsia"/>
          <w:sz w:val="24"/>
          <w:szCs w:val="21"/>
          <w:vertAlign w:val="superscript"/>
        </w:rPr>
        <w:t xml:space="preserve">[ 8] </w:t>
      </w:r>
      <w:r>
        <w:rPr>
          <w:rFonts w:hint="eastAsia"/>
          <w:sz w:val="24"/>
          <w:szCs w:val="21"/>
        </w:rPr>
        <w:t>。长期以来，其野生资源主要依赖长江天然捕捞。自2020年长江流域实施全面禁捕政策后，商业捕捞活动停止，导致市场供应出现较大缺口。为弥补这一空缺，推动瓦氏黄颡鱼的人工养殖发展成为必然趋势。 目前 ，关于瓦氏黄颡鱼的研究多集中于仔鱼营养</w:t>
      </w:r>
      <w:r>
        <w:rPr>
          <w:rFonts w:hint="eastAsia"/>
          <w:sz w:val="24"/>
          <w:szCs w:val="21"/>
          <w:vertAlign w:val="superscript"/>
        </w:rPr>
        <w:t xml:space="preserve">[ 9- 10] </w:t>
      </w:r>
      <w:r>
        <w:rPr>
          <w:rFonts w:hint="eastAsia"/>
          <w:sz w:val="24"/>
          <w:szCs w:val="21"/>
        </w:rPr>
        <w:t>、养殖技术</w:t>
      </w:r>
      <w:r>
        <w:rPr>
          <w:rFonts w:hint="eastAsia"/>
          <w:sz w:val="24"/>
          <w:szCs w:val="21"/>
          <w:vertAlign w:val="superscript"/>
        </w:rPr>
        <w:t>[ 11]</w:t>
      </w:r>
      <w:r>
        <w:rPr>
          <w:rFonts w:hint="eastAsia"/>
          <w:sz w:val="24"/>
          <w:szCs w:val="21"/>
        </w:rPr>
        <w:t xml:space="preserve"> 、繁殖生物学</w:t>
      </w:r>
      <w:r>
        <w:rPr>
          <w:rFonts w:hint="eastAsia"/>
          <w:sz w:val="24"/>
          <w:szCs w:val="21"/>
          <w:vertAlign w:val="superscript"/>
        </w:rPr>
        <w:t>[ 8]</w:t>
      </w:r>
      <w:r>
        <w:rPr>
          <w:rFonts w:hint="eastAsia"/>
          <w:sz w:val="24"/>
          <w:szCs w:val="21"/>
        </w:rPr>
        <w:t xml:space="preserve"> 和免疫机制</w:t>
      </w:r>
      <w:r>
        <w:rPr>
          <w:rFonts w:hint="eastAsia"/>
          <w:sz w:val="24"/>
          <w:szCs w:val="21"/>
          <w:vertAlign w:val="superscript"/>
        </w:rPr>
        <w:t xml:space="preserve"> [ 12] </w:t>
      </w:r>
      <w:r>
        <w:rPr>
          <w:rFonts w:hint="eastAsia"/>
          <w:sz w:val="24"/>
          <w:szCs w:val="21"/>
        </w:rPr>
        <w:t>等方面 ，而有关营养素对亲鱼生长和繁殖性能影响的研究仍较为缺乏。 因此，本研究系统探讨饲料蛋白质水平对瓦氏黄颡鱼雌性亲本生长性能、繁殖性能、血清生化指标、肝脏抗氧化指标及仔鱼质量的影响，以确定其适宜蛋白质需要量，旨在为瓦氏黄颡鱼亲本培育提供科学的饲料配方依据 ，提升亲本繁殖效率与仔鱼质量，促进瓦氏黄颡鱼人工养殖的健康可持续发展。</w:t>
      </w:r>
    </w:p>
    <w:p w14:paraId="713471B8">
      <w:pPr>
        <w:spacing w:line="360" w:lineRule="auto"/>
        <w:ind w:firstLine="480" w:firstLineChars="200"/>
        <w:rPr>
          <w:rFonts w:hint="eastAsia"/>
          <w:sz w:val="24"/>
          <w:szCs w:val="21"/>
        </w:rPr>
      </w:pPr>
      <w:r>
        <w:rPr>
          <w:rFonts w:hint="eastAsia"/>
          <w:sz w:val="24"/>
          <w:szCs w:val="21"/>
        </w:rPr>
        <w:t>1  材料与方法</w:t>
      </w:r>
    </w:p>
    <w:p w14:paraId="2698373E">
      <w:pPr>
        <w:spacing w:line="360" w:lineRule="auto"/>
        <w:ind w:firstLine="480" w:firstLineChars="200"/>
        <w:rPr>
          <w:rFonts w:hint="eastAsia"/>
          <w:sz w:val="24"/>
          <w:szCs w:val="21"/>
        </w:rPr>
      </w:pPr>
      <w:r>
        <w:rPr>
          <w:rFonts w:hint="eastAsia"/>
          <w:sz w:val="24"/>
          <w:szCs w:val="21"/>
        </w:rPr>
        <w:t>1.1  试验饲料</w:t>
      </w:r>
    </w:p>
    <w:p w14:paraId="187DCCD9">
      <w:pPr>
        <w:spacing w:line="360" w:lineRule="auto"/>
        <w:ind w:firstLine="480" w:firstLineChars="200"/>
        <w:rPr>
          <w:rFonts w:hint="eastAsia"/>
          <w:sz w:val="24"/>
          <w:szCs w:val="21"/>
        </w:rPr>
      </w:pPr>
      <w:r>
        <w:rPr>
          <w:rFonts w:hint="eastAsia"/>
          <w:sz w:val="24"/>
          <w:szCs w:val="21"/>
        </w:rPr>
        <w:t>以鱼粉、大豆浓缩蛋白、豆粕、谷朊粉、鸡肉粉和虾粉为蛋白质源，鱼油和大豆油为脂肪源 ，配制 5 种不同蛋白质水平 ( 33%、40%、47%、54% 和 60%) 的等脂试验饲料 ，蛋白质水平实测值分别为 34.27%、40.85%、47.45%、54. 14%和 60.63% , 依次记为 P1、P2、P3、P4 和 P5 。试验饲料组成及营养水平见表 1。所有原料粉碎后过 60 目筛 ，逐级混匀后 ，与适量的水和油脂充分混合。随后使用双螺杆饲料机( F26型，广州华工光机电科技有限公司）制成粒径为 3.0 mm 的颗粒饲料 ，将颗粒饲料 放入 60 ℃ 烘箱( 1215 型 ，常州苏正干燥设备有限公司）中干燥 90 min 后 ，于 - 20 ℃ 条件下保存备用 。参照 AOAC ( 2023 ) [ 13] 的方法测定饲料养分含量 ，其中粗蛋白质含量采用全自动凯氏定氮仪 ( Kjeltec-2300 , FOSS , 瑞典）测定 ，粗脂肪含量采用索氏抽提法测定 ，粗灰分含量采用马弗炉灼烧 法测定 ，总能采用氧弹量热仪( SDACM-4000 , 湖南三德科技股份有限公司）测定。</w:t>
      </w:r>
    </w:p>
    <w:p w14:paraId="1633E872">
      <w:pPr>
        <w:spacing w:line="360" w:lineRule="auto"/>
        <w:ind w:firstLine="420" w:firstLineChars="200"/>
        <w:rPr>
          <w:rFonts w:hint="eastAsia"/>
          <w:sz w:val="24"/>
          <w:szCs w:val="21"/>
        </w:rPr>
      </w:pPr>
      <w:r>
        <w:drawing>
          <wp:anchor distT="0" distB="0" distL="114300" distR="114300" simplePos="0" relativeHeight="251668480" behindDoc="0" locked="0" layoutInCell="1" allowOverlap="1">
            <wp:simplePos x="0" y="0"/>
            <wp:positionH relativeFrom="column">
              <wp:posOffset>115570</wp:posOffset>
            </wp:positionH>
            <wp:positionV relativeFrom="paragraph">
              <wp:posOffset>73660</wp:posOffset>
            </wp:positionV>
            <wp:extent cx="5974080" cy="3990340"/>
            <wp:effectExtent l="0" t="0" r="7620" b="10160"/>
            <wp:wrapTopAndBottom/>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9"/>
                    <a:stretch>
                      <a:fillRect/>
                    </a:stretch>
                  </pic:blipFill>
                  <pic:spPr>
                    <a:xfrm>
                      <a:off x="0" y="0"/>
                      <a:ext cx="5974080" cy="3990340"/>
                    </a:xfrm>
                    <a:prstGeom prst="rect">
                      <a:avLst/>
                    </a:prstGeom>
                    <a:noFill/>
                    <a:ln>
                      <a:noFill/>
                    </a:ln>
                  </pic:spPr>
                </pic:pic>
              </a:graphicData>
            </a:graphic>
          </wp:anchor>
        </w:drawing>
      </w:r>
    </w:p>
    <w:p w14:paraId="7EE32653">
      <w:pPr>
        <w:spacing w:line="360" w:lineRule="auto"/>
        <w:rPr>
          <w:rFonts w:hint="eastAsia"/>
          <w:sz w:val="24"/>
          <w:szCs w:val="21"/>
        </w:rPr>
      </w:pPr>
      <w:r>
        <w:drawing>
          <wp:anchor distT="0" distB="0" distL="114300" distR="114300" simplePos="0" relativeHeight="251669504" behindDoc="0" locked="0" layoutInCell="1" allowOverlap="1">
            <wp:simplePos x="0" y="0"/>
            <wp:positionH relativeFrom="column">
              <wp:posOffset>52705</wp:posOffset>
            </wp:positionH>
            <wp:positionV relativeFrom="paragraph">
              <wp:posOffset>63500</wp:posOffset>
            </wp:positionV>
            <wp:extent cx="5974080" cy="2226945"/>
            <wp:effectExtent l="0" t="0" r="7620" b="8255"/>
            <wp:wrapTopAndBottom/>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10"/>
                    <a:stretch>
                      <a:fillRect/>
                    </a:stretch>
                  </pic:blipFill>
                  <pic:spPr>
                    <a:xfrm>
                      <a:off x="0" y="0"/>
                      <a:ext cx="5974080" cy="2226945"/>
                    </a:xfrm>
                    <a:prstGeom prst="rect">
                      <a:avLst/>
                    </a:prstGeom>
                    <a:noFill/>
                    <a:ln>
                      <a:noFill/>
                    </a:ln>
                  </pic:spPr>
                </pic:pic>
              </a:graphicData>
            </a:graphic>
          </wp:anchor>
        </w:drawing>
      </w:r>
      <w:r>
        <w:rPr>
          <w:rFonts w:hint="eastAsia"/>
          <w:sz w:val="24"/>
          <w:szCs w:val="21"/>
        </w:rPr>
        <w:t>1.2  试验设计与饲养管理</w:t>
      </w:r>
    </w:p>
    <w:p w14:paraId="3410BB97">
      <w:pPr>
        <w:spacing w:line="360" w:lineRule="auto"/>
        <w:ind w:firstLine="480" w:firstLineChars="200"/>
        <w:rPr>
          <w:rFonts w:hint="eastAsia"/>
          <w:sz w:val="24"/>
          <w:szCs w:val="21"/>
        </w:rPr>
      </w:pPr>
      <w:r>
        <w:rPr>
          <w:rFonts w:hint="eastAsia"/>
          <w:sz w:val="24"/>
          <w:szCs w:val="21"/>
        </w:rPr>
        <w:t>本试验在中国水产科学研究院长江水产研究 所实验动物福利伦理委员会批准下进行 ，批准号为 YFI2024JM08。养殖试验于2024年4—6月在中国水产科学研究院长江水产研究所窑湾试验场室外养殖网箱中进行。试验用瓦氏黄颡鱼亲本来源于荆州鑫创渔业有限公司。在正式试验开始之前，亲本先以P1饲料进行为期7 d的暂养，使其适应试验饲料和试验条件。暂养结束后，挑选300尾健康、规格均一、初始体重为( 167.63 ±5.98) g 的瓦氏黄颡鱼雌性亲本 ，随机分配到 15 个规格为1 m×1 m×1 .2 m的网箱中，每个网箱20尾 。将 15个网箱随机分为5组，每组3个重复，分别投喂 5 种试验饲料。挑选 80 尾雄鱼随机分配到4个网箱中，每个网箱 20尾，投喂P3饲料。试验期 77 d。试验期间，每天分别于 06 : 00 和 19 : 00 定量投喂试验饲料，投喂量为鱼体重的1% ~ 3% , 每天记录摄食情况以及时调整投喂量，并记录死亡情况。养殖期间 ，水温为21 ~ 29 ℃, 水体 pH为 7.2 ~ 8.3 , 溶解氧浓度＞5 mg/L。</w:t>
      </w:r>
    </w:p>
    <w:p w14:paraId="4B6D0A6A">
      <w:pPr>
        <w:spacing w:line="360" w:lineRule="auto"/>
        <w:rPr>
          <w:rFonts w:hint="eastAsia"/>
          <w:sz w:val="24"/>
          <w:szCs w:val="21"/>
        </w:rPr>
      </w:pPr>
      <w:r>
        <w:rPr>
          <w:rFonts w:hint="eastAsia"/>
          <w:sz w:val="24"/>
          <w:szCs w:val="21"/>
        </w:rPr>
        <w:t>1.3  繁殖管理</w:t>
      </w:r>
    </w:p>
    <w:p w14:paraId="39022FAE">
      <w:pPr>
        <w:spacing w:line="360" w:lineRule="auto"/>
        <w:ind w:firstLine="480" w:firstLineChars="200"/>
        <w:rPr>
          <w:rFonts w:hint="eastAsia"/>
          <w:sz w:val="24"/>
          <w:szCs w:val="21"/>
        </w:rPr>
      </w:pPr>
      <w:r>
        <w:rPr>
          <w:rFonts w:hint="eastAsia"/>
          <w:sz w:val="24"/>
          <w:szCs w:val="21"/>
        </w:rPr>
        <w:t>养殖试验结束后，从每组选取9尾性腺发育良好（泄殖孔呈粉红色、腹部饱满）的雌性亲本以及 9 尾雄性亲本进行人工繁殖。采用胸鳍腋下注射法进行催产，催产剂为地欧酮( DOM)、促黄体素释放激素类似物2 ( LRHA2 ) 和绒毛膜促性腺激素( HCG) 的混合溶液。雌鱼注射剂量为：DOM 4 mg/kg、LRHA2 10μg/kg、HCG 1100 IU/kg; 雄鱼注射剂量为雌鱼的1/2 。注射后，将每组的9尾雌性亲本分配至 3 个新的圆形养殖桶中（每桶3尾，维持水温24 ~ 26 ℃。10 ~ 12 h 后定期检查雌鱼性腺发育情况，对达到效应时间的亲本，通过人工挤压腹部采集卵粒至盆中。同时，解剖 2 ~ 3 尾雄鱼，取精巢研磨后获得精液，进行干法受精。随即用黄泥水对受精卵进行脱黏处理。随后，将盆中的受精卵分别转移至15 个孵化桶中，将孵化水温调节至 26 ℃。约 72 h 后 ，受精卵陆续孵化。记录每尾雌鱼产卵后的体重；从每尾雌鱼泄殖孔采集卵样，每组收集6份样本 ，每份置于2 mL EP管中 ，经液氮速冻后转移至-80 ℃ 冰箱保存，用于后续分析。</w:t>
      </w:r>
    </w:p>
    <w:p w14:paraId="21025EEE">
      <w:pPr>
        <w:spacing w:line="360" w:lineRule="auto"/>
        <w:rPr>
          <w:rFonts w:hint="eastAsia"/>
          <w:sz w:val="24"/>
          <w:szCs w:val="21"/>
        </w:rPr>
      </w:pPr>
      <w:r>
        <w:rPr>
          <w:rFonts w:hint="eastAsia"/>
          <w:sz w:val="24"/>
          <w:szCs w:val="21"/>
        </w:rPr>
        <w:t>1.4  样品采集</w:t>
      </w:r>
    </w:p>
    <w:p w14:paraId="0FD7A6DD">
      <w:pPr>
        <w:spacing w:line="360" w:lineRule="auto"/>
        <w:ind w:firstLine="480" w:firstLineChars="200"/>
        <w:rPr>
          <w:rFonts w:hint="eastAsia"/>
          <w:sz w:val="24"/>
          <w:szCs w:val="21"/>
        </w:rPr>
      </w:pPr>
      <w:r>
        <w:rPr>
          <w:rFonts w:hint="eastAsia"/>
          <w:sz w:val="24"/>
          <w:szCs w:val="21"/>
        </w:rPr>
        <w:t>养殖试验结束后，将所有试验鱼禁食24 h。随后，对每尾雌鱼进行称重并记录尾数。从每个重复中随机选取 6 尾鱼，使用 50 mg/L 的 MS222进行麻醉。采用1 mL 注射器自尾静脉采集血样，于室温下静置 4 h 后，在 4 ℃ 条件下以 960×g 离心20 min , 收集上层血清并置于-80 ℃ 冰箱保存，用于后续血清生化指标及激素含量的测定。随后将鱼置于冰盘上迅速解剖</w:t>
      </w:r>
      <w:r>
        <w:rPr>
          <w:rFonts w:hint="eastAsia"/>
          <w:sz w:val="24"/>
          <w:szCs w:val="21"/>
          <w:lang w:eastAsia="zh-CN"/>
        </w:rPr>
        <w:t>，</w:t>
      </w:r>
      <w:r>
        <w:rPr>
          <w:rFonts w:hint="eastAsia"/>
          <w:sz w:val="24"/>
          <w:szCs w:val="21"/>
        </w:rPr>
        <w:t>分离内脏团、肝脏、性腺（ 卵巢）和肠系膜脂肪等组织并称重；从卵巢中随  机取约 50 粒卵 ，用万分之一天平称重并计算单个卵子均重。肝脏和卵巢组织经液氮速冻后转移至-80 ℃ 冰箱保存，用于后续分析。</w:t>
      </w:r>
    </w:p>
    <w:p w14:paraId="3CF9B71C">
      <w:pPr>
        <w:spacing w:line="360" w:lineRule="auto"/>
        <w:rPr>
          <w:rFonts w:hint="eastAsia"/>
          <w:sz w:val="24"/>
          <w:szCs w:val="21"/>
        </w:rPr>
      </w:pPr>
      <w:r>
        <w:rPr>
          <w:rFonts w:hint="eastAsia"/>
          <w:sz w:val="24"/>
          <w:szCs w:val="21"/>
        </w:rPr>
        <w:t>1.5  指标测定</w:t>
      </w:r>
    </w:p>
    <w:p w14:paraId="06B0D582">
      <w:pPr>
        <w:spacing w:line="360" w:lineRule="auto"/>
        <w:rPr>
          <w:rFonts w:hint="eastAsia"/>
          <w:sz w:val="24"/>
          <w:szCs w:val="21"/>
        </w:rPr>
      </w:pPr>
      <w:r>
        <w:rPr>
          <w:rFonts w:hint="eastAsia"/>
          <w:sz w:val="24"/>
          <w:szCs w:val="21"/>
        </w:rPr>
        <w:t>1 .5. 1  生长性能</w:t>
      </w:r>
    </w:p>
    <w:p w14:paraId="592CE8FD">
      <w:pPr>
        <w:spacing w:line="360" w:lineRule="auto"/>
        <w:ind w:firstLine="480" w:firstLineChars="200"/>
        <w:rPr>
          <w:rFonts w:hint="eastAsia"/>
          <w:sz w:val="24"/>
          <w:szCs w:val="21"/>
        </w:rPr>
      </w:pPr>
      <w:r>
        <w:rPr>
          <w:rFonts w:hint="eastAsia"/>
          <w:sz w:val="24"/>
          <w:szCs w:val="21"/>
        </w:rPr>
        <w:t>生长性能相关指标计算公式如下：</w:t>
      </w:r>
    </w:p>
    <w:p w14:paraId="17CBC8CB">
      <w:pPr>
        <w:spacing w:line="360" w:lineRule="auto"/>
        <w:ind w:firstLine="480" w:firstLineChars="200"/>
        <w:rPr>
          <w:rFonts w:hint="eastAsia"/>
          <w:sz w:val="24"/>
          <w:szCs w:val="21"/>
        </w:rPr>
      </w:pPr>
      <w:r>
        <w:rPr>
          <w:rFonts w:hint="eastAsia"/>
          <w:sz w:val="24"/>
          <w:szCs w:val="21"/>
        </w:rPr>
        <w:t>增重率( WGR , %) = 100×（终末体重－初始体重）／初始体重；</w:t>
      </w:r>
    </w:p>
    <w:p w14:paraId="782D2561">
      <w:pPr>
        <w:spacing w:line="360" w:lineRule="auto"/>
        <w:ind w:firstLine="480" w:firstLineChars="200"/>
        <w:rPr>
          <w:rFonts w:hint="eastAsia"/>
          <w:sz w:val="24"/>
          <w:szCs w:val="21"/>
        </w:rPr>
      </w:pPr>
      <w:r>
        <w:rPr>
          <w:rFonts w:hint="eastAsia"/>
          <w:sz w:val="24"/>
          <w:szCs w:val="21"/>
        </w:rPr>
        <w:t>特定生长率( SGR , %/d) = 100×( ln终末体重-ln 初始体重）／试验天数；</w:t>
      </w:r>
    </w:p>
    <w:p w14:paraId="7A1E84A9">
      <w:pPr>
        <w:spacing w:line="360" w:lineRule="auto"/>
        <w:ind w:firstLine="480" w:firstLineChars="200"/>
        <w:rPr>
          <w:rFonts w:hint="eastAsia"/>
          <w:sz w:val="24"/>
          <w:szCs w:val="21"/>
        </w:rPr>
      </w:pPr>
      <w:r>
        <w:rPr>
          <w:rFonts w:hint="eastAsia"/>
          <w:sz w:val="24"/>
          <w:szCs w:val="21"/>
        </w:rPr>
        <w:t>肝体比( HSI , %) = 100×肝脏重／体重；</w:t>
      </w:r>
    </w:p>
    <w:p w14:paraId="17881CEA">
      <w:pPr>
        <w:spacing w:line="360" w:lineRule="auto"/>
        <w:ind w:firstLine="480" w:firstLineChars="200"/>
        <w:rPr>
          <w:rFonts w:hint="eastAsia"/>
          <w:sz w:val="24"/>
          <w:szCs w:val="21"/>
        </w:rPr>
      </w:pPr>
      <w:r>
        <w:rPr>
          <w:rFonts w:hint="eastAsia"/>
          <w:sz w:val="24"/>
          <w:szCs w:val="21"/>
        </w:rPr>
        <w:t>脏体比( VSI , %) = 100×内脏团重／体重；</w:t>
      </w:r>
    </w:p>
    <w:p w14:paraId="367D5349">
      <w:pPr>
        <w:spacing w:line="360" w:lineRule="auto"/>
        <w:ind w:firstLine="480" w:firstLineChars="200"/>
        <w:rPr>
          <w:rFonts w:hint="eastAsia"/>
          <w:sz w:val="24"/>
          <w:szCs w:val="21"/>
        </w:rPr>
      </w:pPr>
      <w:r>
        <w:rPr>
          <w:rFonts w:hint="eastAsia"/>
          <w:sz w:val="24"/>
          <w:szCs w:val="21"/>
        </w:rPr>
        <w:t>肠系膜脂肪指数( MFI , %) = 100×肠系膜脂肪重／体重。</w:t>
      </w:r>
    </w:p>
    <w:p w14:paraId="65402C60">
      <w:pPr>
        <w:spacing w:line="360" w:lineRule="auto"/>
        <w:rPr>
          <w:rFonts w:hint="eastAsia"/>
          <w:sz w:val="24"/>
          <w:szCs w:val="21"/>
        </w:rPr>
      </w:pPr>
      <w:r>
        <w:rPr>
          <w:rFonts w:hint="eastAsia"/>
          <w:sz w:val="24"/>
          <w:szCs w:val="21"/>
        </w:rPr>
        <w:t>1 .5.2  繁殖性能</w:t>
      </w:r>
    </w:p>
    <w:p w14:paraId="6A8FF622">
      <w:pPr>
        <w:spacing w:line="360" w:lineRule="auto"/>
        <w:ind w:firstLine="480" w:firstLineChars="200"/>
        <w:rPr>
          <w:rFonts w:hint="eastAsia"/>
          <w:sz w:val="24"/>
          <w:szCs w:val="21"/>
        </w:rPr>
      </w:pPr>
      <w:r>
        <w:rPr>
          <w:rFonts w:hint="eastAsia"/>
          <w:sz w:val="24"/>
          <w:szCs w:val="21"/>
        </w:rPr>
        <w:t>参照 Orlando 等</w:t>
      </w:r>
      <w:r>
        <w:rPr>
          <w:rFonts w:hint="eastAsia"/>
          <w:sz w:val="24"/>
          <w:szCs w:val="21"/>
          <w:vertAlign w:val="superscript"/>
        </w:rPr>
        <w:t>[ 14]</w:t>
      </w:r>
      <w:r>
        <w:rPr>
          <w:rFonts w:hint="eastAsia"/>
          <w:sz w:val="24"/>
          <w:szCs w:val="21"/>
        </w:rPr>
        <w:t xml:space="preserve"> 的方法计算以下繁殖性能指标：</w:t>
      </w:r>
    </w:p>
    <w:p w14:paraId="41760291">
      <w:pPr>
        <w:spacing w:line="360" w:lineRule="auto"/>
        <w:ind w:firstLine="480" w:firstLineChars="200"/>
        <w:rPr>
          <w:rFonts w:hint="eastAsia"/>
          <w:sz w:val="24"/>
          <w:szCs w:val="21"/>
        </w:rPr>
      </w:pPr>
      <w:r>
        <w:rPr>
          <w:rFonts w:hint="eastAsia"/>
          <w:sz w:val="24"/>
          <w:szCs w:val="21"/>
        </w:rPr>
        <w:t>性腺指数( GSI , %) = 100×性腺重／体重；</w:t>
      </w:r>
    </w:p>
    <w:p w14:paraId="6E92BFFF">
      <w:pPr>
        <w:spacing w:line="360" w:lineRule="auto"/>
        <w:ind w:firstLine="480" w:firstLineChars="200"/>
        <w:rPr>
          <w:rFonts w:hint="eastAsia"/>
          <w:sz w:val="24"/>
          <w:szCs w:val="21"/>
        </w:rPr>
      </w:pPr>
      <w:r>
        <w:rPr>
          <w:rFonts w:hint="eastAsia"/>
          <w:sz w:val="24"/>
          <w:szCs w:val="21"/>
        </w:rPr>
        <w:t>绝对繁殖力( AF , 粒）＝ 总卵巢重量／单个卵子均重；</w:t>
      </w:r>
    </w:p>
    <w:p w14:paraId="4E3FC828">
      <w:pPr>
        <w:spacing w:line="360" w:lineRule="auto"/>
        <w:ind w:firstLine="480" w:firstLineChars="200"/>
        <w:rPr>
          <w:rFonts w:hint="eastAsia"/>
          <w:sz w:val="24"/>
          <w:szCs w:val="21"/>
        </w:rPr>
      </w:pPr>
      <w:r>
        <w:rPr>
          <w:rFonts w:hint="eastAsia"/>
          <w:sz w:val="24"/>
          <w:szCs w:val="21"/>
        </w:rPr>
        <w:t>相对繁殖力( RF , 粒/g) = 绝对繁殖力／雌鱼体重；</w:t>
      </w:r>
    </w:p>
    <w:p w14:paraId="3B972F52">
      <w:pPr>
        <w:spacing w:line="360" w:lineRule="auto"/>
        <w:ind w:firstLine="480" w:firstLineChars="200"/>
        <w:rPr>
          <w:rFonts w:hint="eastAsia"/>
          <w:sz w:val="24"/>
          <w:szCs w:val="21"/>
        </w:rPr>
      </w:pPr>
      <w:r>
        <w:rPr>
          <w:rFonts w:hint="eastAsia"/>
          <w:sz w:val="24"/>
          <w:szCs w:val="21"/>
        </w:rPr>
        <w:t>受精率( FR , %) = 100×受精卵数／总卵数。</w:t>
      </w:r>
    </w:p>
    <w:p w14:paraId="1BD6048B">
      <w:pPr>
        <w:spacing w:line="360" w:lineRule="auto"/>
        <w:rPr>
          <w:rFonts w:hint="eastAsia"/>
          <w:sz w:val="24"/>
          <w:szCs w:val="21"/>
        </w:rPr>
      </w:pPr>
      <w:r>
        <w:rPr>
          <w:rFonts w:hint="eastAsia"/>
          <w:sz w:val="24"/>
          <w:szCs w:val="21"/>
        </w:rPr>
        <w:t>1 .5.3  卵巢组织学分析</w:t>
      </w:r>
    </w:p>
    <w:p w14:paraId="4C7D6DBD">
      <w:pPr>
        <w:spacing w:line="360" w:lineRule="auto"/>
        <w:ind w:firstLine="480" w:firstLineChars="200"/>
        <w:rPr>
          <w:rFonts w:hint="eastAsia"/>
          <w:sz w:val="24"/>
          <w:szCs w:val="21"/>
        </w:rPr>
      </w:pPr>
      <w:r>
        <w:rPr>
          <w:rFonts w:hint="eastAsia"/>
          <w:sz w:val="24"/>
          <w:szCs w:val="21"/>
        </w:rPr>
        <w:t>每组取 6 份卵巢组织样品，采用 4% 多聚甲醛 固定24 h 后 ，使用乙醇进行常规梯度脱水 ，随后依次完成透化、浸蜡及石蜡包埋；将包埋后的组织制成 4 ~ 6 μm 的 切 片，烘片后进行苏木精伊 红 ( HE) 染色 ，随后置于生物显微镜( IRX50 , 宁波舜宇仪器有限公司）下观察并拍照记录 ，使用其配套图像分析软件测量卵径。</w:t>
      </w:r>
    </w:p>
    <w:p w14:paraId="37D47EA3">
      <w:pPr>
        <w:spacing w:line="360" w:lineRule="auto"/>
        <w:rPr>
          <w:rFonts w:hint="eastAsia"/>
          <w:sz w:val="24"/>
          <w:szCs w:val="21"/>
        </w:rPr>
      </w:pPr>
      <w:r>
        <w:rPr>
          <w:rFonts w:hint="eastAsia"/>
          <w:sz w:val="24"/>
          <w:szCs w:val="21"/>
        </w:rPr>
        <w:t>1 .5.4  血清、肝脏及卵巢指标</w:t>
      </w:r>
    </w:p>
    <w:p w14:paraId="3CACA6F1">
      <w:pPr>
        <w:spacing w:line="360" w:lineRule="auto"/>
        <w:ind w:firstLine="480" w:firstLineChars="200"/>
        <w:rPr>
          <w:rFonts w:hint="eastAsia"/>
          <w:sz w:val="24"/>
          <w:szCs w:val="21"/>
        </w:rPr>
      </w:pPr>
      <w:r>
        <w:rPr>
          <w:rFonts w:hint="eastAsia"/>
          <w:sz w:val="24"/>
          <w:szCs w:val="21"/>
        </w:rPr>
        <w:t>血清总胆固醇( TC) 、甘油三酯( TG) 、葡萄糖 ( GLU) 、白蛋白( ALB ) 、总蛋白( TP) 含量及谷草 转氨酶 ( AST) 、谷 丙 转 氨 酶 ( ALT) 、碱 性 磷 酸 酶 ( ALP) 活性使用 CHEMIX- 800 全自动生化分析 仪( Sysmex 公司 ，日本）测定 。肝脏 ALP、超氧化 物歧化酶( SOD) 活性及丙二醛( MDA) 、还原型谷 胱甘肽(GSH)含量采用南京建成生物工程研究所生 产的试剂盒进行测定。血清与卵巢中雌二醇( E2 ) 和 Vtg 含量采用上海酶联生物科技有限公司生产的酶 联免疫吸附试验(ELISA)试剂盒进行测定。</w:t>
      </w:r>
    </w:p>
    <w:p w14:paraId="2758DB26">
      <w:pPr>
        <w:spacing w:line="360" w:lineRule="auto"/>
        <w:rPr>
          <w:rFonts w:hint="eastAsia"/>
          <w:sz w:val="24"/>
          <w:szCs w:val="21"/>
        </w:rPr>
      </w:pPr>
      <w:r>
        <w:rPr>
          <w:rFonts w:hint="eastAsia"/>
          <w:sz w:val="24"/>
          <w:szCs w:val="21"/>
        </w:rPr>
        <w:t>1 .5.5  仔鱼生长性能</w:t>
      </w:r>
    </w:p>
    <w:p w14:paraId="3D5E53F2">
      <w:pPr>
        <w:spacing w:line="360" w:lineRule="auto"/>
        <w:ind w:firstLine="480" w:firstLineChars="200"/>
        <w:rPr>
          <w:rFonts w:hint="eastAsia"/>
          <w:sz w:val="24"/>
          <w:szCs w:val="21"/>
        </w:rPr>
      </w:pPr>
      <w:r>
        <w:rPr>
          <w:rFonts w:hint="eastAsia"/>
          <w:sz w:val="24"/>
          <w:szCs w:val="21"/>
        </w:rPr>
        <w:t>待仔鱼从受精卵孵化出后，每组设 3个重复，每个重复 300 尾仔鱼，以重复为单位养殖于水体体积为10 L 的长方体养殖缸中，养殖周期 12 d。每天分别于 08 : 00 和 17 : 00 各投喂 1 次皱褶臂尾轮虫(</w:t>
      </w:r>
      <w:r>
        <w:rPr>
          <w:rFonts w:hint="default" w:ascii="Times New Roman Italic" w:hAnsi="Times New Roman Italic" w:cs="Times New Roman Italic"/>
          <w:i/>
          <w:iCs/>
          <w:sz w:val="24"/>
          <w:szCs w:val="21"/>
        </w:rPr>
        <w:t xml:space="preserve"> Brachionus plicatilis</w:t>
      </w:r>
      <w:r>
        <w:rPr>
          <w:rFonts w:hint="eastAsia"/>
          <w:sz w:val="24"/>
          <w:szCs w:val="21"/>
        </w:rPr>
        <w:t>) , 投喂密度为 5 个/mL。观察记录仔鱼死亡情况 ，计算仔鱼每日存活率。养殖期间每天换水 30% , 维持水温为 24 ~ 26 ℃ , 水体 pH为7. 1 ~ 7.8 , 溶解氧浓度＞5 mg/L , 光照采用自然光周期。使用生物显微镜( IRX50 , 宁波舜宇仪器有限公司）及其配套图像分析软件测量仔鱼全长；采用万分之一电子天平称量仔鱼的初始体重和终末体重 ，生长性能指标参照1 . 5. 1中的公式计算。</w:t>
      </w:r>
    </w:p>
    <w:p w14:paraId="28839F3B">
      <w:pPr>
        <w:spacing w:line="360" w:lineRule="auto"/>
        <w:ind w:firstLine="480" w:firstLineChars="200"/>
        <w:rPr>
          <w:rFonts w:hint="eastAsia"/>
          <w:sz w:val="24"/>
          <w:szCs w:val="21"/>
        </w:rPr>
      </w:pPr>
      <w:r>
        <w:rPr>
          <w:rFonts w:hint="eastAsia"/>
          <w:sz w:val="24"/>
          <w:szCs w:val="21"/>
        </w:rPr>
        <w:t>1.6  数据统计分析</w:t>
      </w:r>
    </w:p>
    <w:p w14:paraId="4720CF30">
      <w:pPr>
        <w:spacing w:line="360" w:lineRule="auto"/>
        <w:ind w:firstLine="480" w:firstLineChars="200"/>
        <w:rPr>
          <w:rFonts w:hint="eastAsia"/>
          <w:sz w:val="24"/>
          <w:szCs w:val="21"/>
        </w:rPr>
      </w:pPr>
      <w:r>
        <w:rPr>
          <w:rFonts w:hint="eastAsia"/>
          <w:sz w:val="24"/>
          <w:szCs w:val="21"/>
        </w:rPr>
        <w:t>使用 R studio 软件进行统计分析。所有数据在单因素方差分析 ( one⁃way ANOVA) 前 均经过方差齐性检验( Levene’stest) , 对不满足齐性假设的指标进行对数转换后再进行分析。ANOVA 模 型为 Y</w:t>
      </w:r>
      <w:r>
        <w:rPr>
          <w:rFonts w:hint="eastAsia"/>
          <w:sz w:val="24"/>
          <w:szCs w:val="21"/>
          <w:vertAlign w:val="subscript"/>
        </w:rPr>
        <w:t>ij</w:t>
      </w:r>
      <w:r>
        <w:rPr>
          <w:rFonts w:hint="eastAsia"/>
          <w:sz w:val="24"/>
          <w:szCs w:val="21"/>
        </w:rPr>
        <w:t xml:space="preserve"> =μ+α</w:t>
      </w:r>
      <w:r>
        <w:rPr>
          <w:rFonts w:hint="eastAsia"/>
          <w:sz w:val="24"/>
          <w:szCs w:val="21"/>
          <w:vertAlign w:val="subscript"/>
        </w:rPr>
        <w:t>i</w:t>
      </w:r>
      <w:r>
        <w:rPr>
          <w:rFonts w:hint="eastAsia"/>
          <w:sz w:val="24"/>
          <w:szCs w:val="21"/>
        </w:rPr>
        <w:t xml:space="preserve"> + i</w:t>
      </w:r>
      <w:r>
        <w:rPr>
          <w:rFonts w:hint="eastAsia"/>
          <w:sz w:val="24"/>
          <w:szCs w:val="21"/>
          <w:vertAlign w:val="subscript"/>
        </w:rPr>
        <w:t>j</w:t>
      </w:r>
      <w:r>
        <w:rPr>
          <w:rFonts w:hint="eastAsia"/>
          <w:sz w:val="24"/>
          <w:szCs w:val="21"/>
        </w:rPr>
        <w:t>, 其中 Yij 为观测值，μ为总体均 值 ，α</w:t>
      </w:r>
      <w:r>
        <w:rPr>
          <w:rFonts w:hint="eastAsia"/>
          <w:sz w:val="24"/>
          <w:szCs w:val="21"/>
          <w:vertAlign w:val="subscript"/>
        </w:rPr>
        <w:t>i</w:t>
      </w:r>
      <w:r>
        <w:rPr>
          <w:rFonts w:hint="eastAsia"/>
          <w:sz w:val="24"/>
          <w:szCs w:val="21"/>
        </w:rPr>
        <w:t>为组效应，i</w:t>
      </w:r>
      <w:r>
        <w:rPr>
          <w:rFonts w:hint="eastAsia"/>
          <w:sz w:val="24"/>
          <w:szCs w:val="21"/>
          <w:vertAlign w:val="subscript"/>
        </w:rPr>
        <w:t>j</w:t>
      </w:r>
      <w:r>
        <w:rPr>
          <w:rFonts w:hint="eastAsia"/>
          <w:sz w:val="24"/>
          <w:szCs w:val="21"/>
        </w:rPr>
        <w:t xml:space="preserve"> 为随机误差项且假定服从 N ( 0 , σ2 ) 。若方差分析结果显示组间存在显著差异，则采用 Duncan 氏法进行事后多重比较。结果以平均值±标准差(mean±SD) 表示，统计学显著性 水平设定为 </w:t>
      </w:r>
      <w:r>
        <w:rPr>
          <w:rFonts w:hint="default" w:ascii="Times New Roman Italic" w:hAnsi="Times New Roman Italic" w:cs="Times New Roman Italic"/>
          <w:i/>
          <w:iCs/>
          <w:sz w:val="24"/>
          <w:szCs w:val="21"/>
        </w:rPr>
        <w:t>P</w:t>
      </w:r>
      <w:r>
        <w:rPr>
          <w:rFonts w:hint="eastAsia"/>
          <w:sz w:val="24"/>
          <w:szCs w:val="21"/>
        </w:rPr>
        <w:t>&lt;0.05。</w:t>
      </w:r>
    </w:p>
    <w:p w14:paraId="28EE5FB4">
      <w:pPr>
        <w:spacing w:line="360" w:lineRule="auto"/>
        <w:ind w:firstLine="480" w:firstLineChars="200"/>
        <w:rPr>
          <w:rFonts w:hint="eastAsia"/>
          <w:sz w:val="24"/>
          <w:szCs w:val="21"/>
        </w:rPr>
      </w:pPr>
      <w:r>
        <w:rPr>
          <w:rFonts w:hint="eastAsia"/>
          <w:sz w:val="24"/>
          <w:szCs w:val="21"/>
        </w:rPr>
        <w:t>2  结果与分析</w:t>
      </w:r>
    </w:p>
    <w:p w14:paraId="34C1127E">
      <w:pPr>
        <w:spacing w:line="360" w:lineRule="auto"/>
        <w:ind w:firstLine="480" w:firstLineChars="200"/>
        <w:rPr>
          <w:rFonts w:hint="eastAsia"/>
          <w:sz w:val="24"/>
          <w:szCs w:val="21"/>
        </w:rPr>
      </w:pPr>
      <w:r>
        <w:rPr>
          <w:rFonts w:hint="eastAsia"/>
          <w:sz w:val="24"/>
          <w:szCs w:val="21"/>
        </w:rPr>
        <w:t>2.1  饲料蛋白质水平对瓦氏黄颡鱼雌性亲本生长性能的影响</w:t>
      </w:r>
    </w:p>
    <w:p w14:paraId="76F274B1">
      <w:pPr>
        <w:spacing w:line="360" w:lineRule="auto"/>
        <w:ind w:firstLine="480" w:firstLineChars="200"/>
        <w:rPr>
          <w:rFonts w:hint="eastAsia"/>
          <w:sz w:val="24"/>
          <w:szCs w:val="21"/>
        </w:rPr>
      </w:pPr>
      <w:r>
        <w:rPr>
          <w:rFonts w:hint="eastAsia"/>
          <w:sz w:val="24"/>
          <w:szCs w:val="21"/>
        </w:rPr>
        <w:t>由表2可知，饲料蛋白质水平显著影响终末体重、WGR和SGR(</w:t>
      </w:r>
      <w:r>
        <w:rPr>
          <w:rFonts w:hint="default" w:ascii="Times New Roman Italic" w:hAnsi="Times New Roman Italic" w:cs="Times New Roman Italic"/>
          <w:i/>
          <w:iCs/>
          <w:sz w:val="24"/>
          <w:szCs w:val="21"/>
        </w:rPr>
        <w:t>P</w:t>
      </w:r>
      <w:r>
        <w:rPr>
          <w:rFonts w:hint="eastAsia"/>
          <w:sz w:val="24"/>
          <w:szCs w:val="21"/>
        </w:rPr>
        <w:t>&lt;0.05),P3、P4及P5组终末体重、WGR和SGR均显著高于P1和P2组(</w:t>
      </w:r>
      <w:r>
        <w:rPr>
          <w:rFonts w:hint="default" w:ascii="Times New Roman Italic" w:hAnsi="Times New Roman Italic" w:cs="Times New Roman Italic"/>
          <w:i/>
          <w:iCs/>
          <w:sz w:val="24"/>
          <w:szCs w:val="21"/>
        </w:rPr>
        <w:t>P</w:t>
      </w:r>
      <w:r>
        <w:rPr>
          <w:rFonts w:hint="eastAsia"/>
          <w:sz w:val="24"/>
          <w:szCs w:val="21"/>
        </w:rPr>
        <w:t>&lt;0.05),且以P3组最高。各组间HSI和VSI无显著差异(</w:t>
      </w:r>
      <w:r>
        <w:rPr>
          <w:rFonts w:hint="default" w:ascii="Times New Roman Italic" w:hAnsi="Times New Roman Italic" w:cs="Times New Roman Italic"/>
          <w:i/>
          <w:iCs/>
          <w:sz w:val="24"/>
          <w:szCs w:val="21"/>
        </w:rPr>
        <w:t>P</w:t>
      </w:r>
      <w:r>
        <w:rPr>
          <w:rFonts w:hint="eastAsia"/>
          <w:sz w:val="24"/>
          <w:szCs w:val="21"/>
        </w:rPr>
        <w:t>&gt;0.05)。MFI随饲料蛋白质水平的升高呈剂量依赖性降低，其中P4和P5组MFI显著低于P1组(</w:t>
      </w:r>
      <w:r>
        <w:rPr>
          <w:rFonts w:hint="default" w:ascii="Times New Roman Italic" w:hAnsi="Times New Roman Italic" w:cs="Times New Roman Italic"/>
          <w:i/>
          <w:iCs/>
          <w:sz w:val="24"/>
          <w:szCs w:val="21"/>
        </w:rPr>
        <w:t>P</w:t>
      </w:r>
      <w:r>
        <w:rPr>
          <w:rFonts w:hint="eastAsia"/>
          <w:sz w:val="24"/>
          <w:szCs w:val="21"/>
        </w:rPr>
        <w:t>&lt;0.05)。</w:t>
      </w:r>
    </w:p>
    <w:p w14:paraId="40AAAE2A">
      <w:pPr>
        <w:spacing w:line="360" w:lineRule="auto"/>
        <w:ind w:firstLine="480" w:firstLineChars="200"/>
        <w:rPr>
          <w:rFonts w:hint="eastAsia"/>
          <w:sz w:val="24"/>
          <w:szCs w:val="21"/>
        </w:rPr>
      </w:pPr>
    </w:p>
    <w:p w14:paraId="554784BB">
      <w:pPr>
        <w:spacing w:line="360" w:lineRule="auto"/>
        <w:rPr>
          <w:rFonts w:hint="eastAsia"/>
          <w:sz w:val="24"/>
          <w:szCs w:val="21"/>
        </w:rPr>
      </w:pPr>
      <w:r>
        <w:drawing>
          <wp:anchor distT="0" distB="0" distL="114300" distR="114300" simplePos="0" relativeHeight="251671552" behindDoc="0" locked="0" layoutInCell="1" allowOverlap="1">
            <wp:simplePos x="0" y="0"/>
            <wp:positionH relativeFrom="column">
              <wp:posOffset>53340</wp:posOffset>
            </wp:positionH>
            <wp:positionV relativeFrom="paragraph">
              <wp:posOffset>207010</wp:posOffset>
            </wp:positionV>
            <wp:extent cx="5975985" cy="2442210"/>
            <wp:effectExtent l="0" t="0" r="5715" b="8890"/>
            <wp:wrapTopAndBottom/>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11"/>
                    <a:stretch>
                      <a:fillRect/>
                    </a:stretch>
                  </pic:blipFill>
                  <pic:spPr>
                    <a:xfrm>
                      <a:off x="0" y="0"/>
                      <a:ext cx="5975985" cy="2442210"/>
                    </a:xfrm>
                    <a:prstGeom prst="rect">
                      <a:avLst/>
                    </a:prstGeom>
                    <a:noFill/>
                    <a:ln>
                      <a:noFill/>
                    </a:ln>
                  </pic:spPr>
                </pic:pic>
              </a:graphicData>
            </a:graphic>
          </wp:anchor>
        </w:drawing>
      </w:r>
    </w:p>
    <w:p w14:paraId="55F6D959">
      <w:pPr>
        <w:spacing w:line="360" w:lineRule="auto"/>
        <w:ind w:firstLine="480" w:firstLineChars="200"/>
        <w:rPr>
          <w:rFonts w:hint="eastAsia"/>
          <w:sz w:val="24"/>
          <w:szCs w:val="21"/>
        </w:rPr>
      </w:pPr>
      <w:r>
        <w:rPr>
          <w:rFonts w:hint="eastAsia"/>
          <w:sz w:val="24"/>
          <w:szCs w:val="21"/>
        </w:rPr>
        <w:t>2.2  饲料蛋白质水平对瓦氏黄颡鱼雌性亲本繁殖 性能的影响</w:t>
      </w:r>
    </w:p>
    <w:p w14:paraId="262DA7DA">
      <w:pPr>
        <w:spacing w:line="360" w:lineRule="auto"/>
        <w:ind w:firstLine="480" w:firstLineChars="200"/>
        <w:rPr>
          <w:rFonts w:hint="eastAsia"/>
          <w:sz w:val="24"/>
          <w:szCs w:val="21"/>
        </w:rPr>
      </w:pPr>
      <w:r>
        <w:rPr>
          <w:rFonts w:hint="eastAsia"/>
          <w:sz w:val="24"/>
          <w:szCs w:val="21"/>
        </w:rPr>
        <w:t>由表3可知，各组间卵重、卵径和受精率均无显著差异(</w:t>
      </w:r>
      <w:r>
        <w:rPr>
          <w:rFonts w:hint="default" w:ascii="Times New Roman Italic" w:hAnsi="Times New Roman Italic" w:cs="Times New Roman Italic"/>
          <w:i/>
          <w:iCs/>
          <w:sz w:val="24"/>
          <w:szCs w:val="21"/>
        </w:rPr>
        <w:t>P</w:t>
      </w:r>
      <w:r>
        <w:rPr>
          <w:rFonts w:hint="eastAsia"/>
          <w:sz w:val="24"/>
          <w:szCs w:val="21"/>
        </w:rPr>
        <w:t>&gt;0.05)。饲料蛋白质水平显著影响GSI、AF和RF(</w:t>
      </w:r>
      <w:r>
        <w:rPr>
          <w:rFonts w:hint="default" w:ascii="Times New Roman Italic" w:hAnsi="Times New Roman Italic" w:cs="Times New Roman Italic"/>
          <w:i/>
          <w:iCs/>
          <w:sz w:val="24"/>
          <w:szCs w:val="21"/>
        </w:rPr>
        <w:t>P</w:t>
      </w:r>
      <w:r>
        <w:rPr>
          <w:rFonts w:hint="eastAsia"/>
          <w:sz w:val="24"/>
          <w:szCs w:val="21"/>
        </w:rPr>
        <w:t>&lt;0.05),其中，GSI随饲料蛋白质水平的升高而增加，P5组达最大值且显著高于P1组(</w:t>
      </w:r>
      <w:r>
        <w:rPr>
          <w:rFonts w:hint="default" w:ascii="Times New Roman Italic" w:hAnsi="Times New Roman Italic" w:cs="Times New Roman Italic"/>
          <w:i/>
          <w:iCs/>
          <w:sz w:val="24"/>
          <w:szCs w:val="21"/>
        </w:rPr>
        <w:t>P</w:t>
      </w:r>
      <w:r>
        <w:rPr>
          <w:rFonts w:hint="eastAsia"/>
          <w:sz w:val="24"/>
          <w:szCs w:val="21"/>
        </w:rPr>
        <w:t>&lt;0.05);AF与RF随饲料蛋白质水平的升高呈先升后降趋势，二者均在P3组达最大值，且显著高于P1组(</w:t>
      </w:r>
      <w:r>
        <w:rPr>
          <w:rFonts w:hint="default" w:ascii="Times New Roman Italic" w:hAnsi="Times New Roman Italic" w:cs="Times New Roman Italic"/>
          <w:i/>
          <w:iCs/>
          <w:sz w:val="24"/>
          <w:szCs w:val="21"/>
        </w:rPr>
        <w:t>P</w:t>
      </w:r>
      <w:r>
        <w:rPr>
          <w:rFonts w:hint="eastAsia"/>
          <w:sz w:val="24"/>
          <w:szCs w:val="21"/>
        </w:rPr>
        <w:t>&lt;0.05)。二次回归分析（图1)显示，饲料蛋白质水平为50.79%时，瓦氏黄颡鱼雌性亲本相对繁殖力最高，达84.55粒/g。</w:t>
      </w:r>
    </w:p>
    <w:p w14:paraId="47B5C9A8">
      <w:pPr>
        <w:spacing w:line="360" w:lineRule="auto"/>
        <w:ind w:firstLine="420" w:firstLineChars="200"/>
        <w:rPr>
          <w:rFonts w:hint="eastAsia"/>
          <w:sz w:val="24"/>
          <w:szCs w:val="21"/>
        </w:rPr>
      </w:pPr>
      <w:r>
        <w:drawing>
          <wp:anchor distT="0" distB="0" distL="114300" distR="114300" simplePos="0" relativeHeight="251672576" behindDoc="0" locked="0" layoutInCell="1" allowOverlap="1">
            <wp:simplePos x="0" y="0"/>
            <wp:positionH relativeFrom="column">
              <wp:posOffset>-88900</wp:posOffset>
            </wp:positionH>
            <wp:positionV relativeFrom="paragraph">
              <wp:posOffset>274955</wp:posOffset>
            </wp:positionV>
            <wp:extent cx="5975350" cy="2811780"/>
            <wp:effectExtent l="0" t="0" r="6350" b="7620"/>
            <wp:wrapTopAndBottom/>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12"/>
                    <a:stretch>
                      <a:fillRect/>
                    </a:stretch>
                  </pic:blipFill>
                  <pic:spPr>
                    <a:xfrm>
                      <a:off x="0" y="0"/>
                      <a:ext cx="5975350" cy="2811780"/>
                    </a:xfrm>
                    <a:prstGeom prst="rect">
                      <a:avLst/>
                    </a:prstGeom>
                    <a:noFill/>
                    <a:ln>
                      <a:noFill/>
                    </a:ln>
                  </pic:spPr>
                </pic:pic>
              </a:graphicData>
            </a:graphic>
          </wp:anchor>
        </w:drawing>
      </w:r>
    </w:p>
    <w:p w14:paraId="0491521D">
      <w:pPr>
        <w:spacing w:line="360" w:lineRule="auto"/>
        <w:ind w:firstLine="480" w:firstLineChars="200"/>
        <w:rPr>
          <w:rFonts w:hint="eastAsia"/>
          <w:sz w:val="24"/>
          <w:szCs w:val="21"/>
        </w:rPr>
      </w:pPr>
    </w:p>
    <w:p w14:paraId="015C25F4">
      <w:pPr>
        <w:spacing w:line="360" w:lineRule="auto"/>
        <w:ind w:firstLine="480" w:firstLineChars="200"/>
        <w:rPr>
          <w:rFonts w:hint="eastAsia"/>
          <w:sz w:val="24"/>
          <w:szCs w:val="21"/>
        </w:rPr>
      </w:pPr>
    </w:p>
    <w:p w14:paraId="17838D18">
      <w:pPr>
        <w:spacing w:line="360" w:lineRule="auto"/>
        <w:ind w:firstLine="420" w:firstLineChars="200"/>
        <w:rPr>
          <w:rFonts w:hint="eastAsia"/>
          <w:sz w:val="24"/>
          <w:szCs w:val="21"/>
        </w:rPr>
      </w:pPr>
      <w:r>
        <w:drawing>
          <wp:anchor distT="0" distB="0" distL="114300" distR="114300" simplePos="0" relativeHeight="251673600" behindDoc="0" locked="0" layoutInCell="1" allowOverlap="1">
            <wp:simplePos x="0" y="0"/>
            <wp:positionH relativeFrom="column">
              <wp:posOffset>1101725</wp:posOffset>
            </wp:positionH>
            <wp:positionV relativeFrom="paragraph">
              <wp:posOffset>276860</wp:posOffset>
            </wp:positionV>
            <wp:extent cx="3718560" cy="2901950"/>
            <wp:effectExtent l="0" t="0" r="2540" b="6350"/>
            <wp:wrapTopAndBottom/>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13"/>
                    <a:stretch>
                      <a:fillRect/>
                    </a:stretch>
                  </pic:blipFill>
                  <pic:spPr>
                    <a:xfrm>
                      <a:off x="0" y="0"/>
                      <a:ext cx="3718560" cy="2901950"/>
                    </a:xfrm>
                    <a:prstGeom prst="rect">
                      <a:avLst/>
                    </a:prstGeom>
                    <a:noFill/>
                    <a:ln>
                      <a:noFill/>
                    </a:ln>
                  </pic:spPr>
                </pic:pic>
              </a:graphicData>
            </a:graphic>
          </wp:anchor>
        </w:drawing>
      </w:r>
    </w:p>
    <w:p w14:paraId="5B29E443">
      <w:pPr>
        <w:spacing w:line="360" w:lineRule="auto"/>
        <w:ind w:firstLine="480" w:firstLineChars="200"/>
        <w:rPr>
          <w:rFonts w:hint="eastAsia"/>
          <w:sz w:val="24"/>
          <w:szCs w:val="21"/>
        </w:rPr>
      </w:pPr>
      <w:r>
        <w:rPr>
          <w:rFonts w:hint="eastAsia"/>
          <w:sz w:val="24"/>
          <w:szCs w:val="21"/>
        </w:rPr>
        <w:t>2.3  饲料蛋白质水平对瓦氏黄颡鱼雌性亲本卵巢 形态学的影响</w:t>
      </w:r>
    </w:p>
    <w:p w14:paraId="487FEFFE">
      <w:pPr>
        <w:spacing w:line="360" w:lineRule="auto"/>
        <w:ind w:firstLine="480" w:firstLineChars="200"/>
        <w:rPr>
          <w:rFonts w:hint="eastAsia"/>
          <w:sz w:val="24"/>
          <w:szCs w:val="21"/>
        </w:rPr>
      </w:pPr>
      <w:r>
        <w:rPr>
          <w:rFonts w:hint="eastAsia"/>
          <w:sz w:val="24"/>
          <w:szCs w:val="21"/>
        </w:rPr>
        <w:t>卵巢组织学切片（图2)显示，P1组卵巢以第Ⅰ、Ⅱ时相卵母细胞为主，仅见少量第Ⅲ、Ⅳ时相卵母细胞；P2组卵巢以第Ⅳ、Ⅴ时相卵母细胞占主导，卵径异质性明显；P3、P4及P5组卵巢则主要分布第Ⅴ、Ⅵ时相卵母细胞。</w:t>
      </w:r>
    </w:p>
    <w:p w14:paraId="283B26F6">
      <w:pPr>
        <w:spacing w:line="360" w:lineRule="auto"/>
        <w:ind w:firstLine="480" w:firstLineChars="200"/>
        <w:rPr>
          <w:rFonts w:hint="eastAsia"/>
          <w:sz w:val="24"/>
          <w:szCs w:val="21"/>
        </w:rPr>
      </w:pPr>
      <w:r>
        <w:rPr>
          <w:rFonts w:hint="eastAsia"/>
          <w:sz w:val="24"/>
          <w:szCs w:val="21"/>
        </w:rPr>
        <w:t>2.4</w:t>
      </w:r>
      <w:r>
        <w:rPr>
          <w:rFonts w:hint="default"/>
          <w:sz w:val="24"/>
          <w:szCs w:val="21"/>
          <w:lang w:val="en-US"/>
        </w:rPr>
        <w:t xml:space="preserve">  </w:t>
      </w:r>
      <w:r>
        <w:rPr>
          <w:rFonts w:hint="eastAsia"/>
          <w:sz w:val="24"/>
          <w:szCs w:val="21"/>
        </w:rPr>
        <w:t>饲料蛋白质水平对瓦氏黄颡鱼雌性亲本血清与卵巢中E2和Vtg含量的影响</w:t>
      </w:r>
    </w:p>
    <w:p w14:paraId="6B41E134">
      <w:pPr>
        <w:spacing w:line="360" w:lineRule="auto"/>
        <w:ind w:firstLine="480" w:firstLineChars="200"/>
        <w:rPr>
          <w:rFonts w:hint="eastAsia"/>
          <w:sz w:val="24"/>
          <w:szCs w:val="21"/>
        </w:rPr>
      </w:pPr>
      <w:r>
        <w:rPr>
          <w:rFonts w:hint="eastAsia"/>
          <w:sz w:val="24"/>
          <w:szCs w:val="21"/>
        </w:rPr>
        <w:t>由表4可知，饲料蛋白质水平显著影响卵巢Vtg含量(</w:t>
      </w:r>
      <w:r>
        <w:rPr>
          <w:rFonts w:hint="default" w:ascii="Times New Roman Italic" w:hAnsi="Times New Roman Italic" w:cs="Times New Roman Italic"/>
          <w:i/>
          <w:iCs/>
          <w:sz w:val="24"/>
          <w:szCs w:val="21"/>
        </w:rPr>
        <w:t>P</w:t>
      </w:r>
      <w:r>
        <w:rPr>
          <w:rFonts w:hint="eastAsia"/>
          <w:sz w:val="24"/>
          <w:szCs w:val="21"/>
        </w:rPr>
        <w:t>&lt;0.05)。P3与P4组卵巢Vtg含量显著高于P1组(</w:t>
      </w:r>
      <w:r>
        <w:rPr>
          <w:rFonts w:hint="default" w:ascii="Times New Roman Italic" w:hAnsi="Times New Roman Italic" w:cs="Times New Roman Italic"/>
          <w:i/>
          <w:iCs/>
          <w:sz w:val="24"/>
          <w:szCs w:val="21"/>
        </w:rPr>
        <w:t>P</w:t>
      </w:r>
      <w:r>
        <w:rPr>
          <w:rFonts w:hint="eastAsia"/>
          <w:sz w:val="24"/>
          <w:szCs w:val="21"/>
        </w:rPr>
        <w:t>&lt;0.05),而P5组卵巢Vtg含量显著低于P3组(</w:t>
      </w:r>
      <w:r>
        <w:rPr>
          <w:rFonts w:hint="default" w:ascii="Times New Roman Italic" w:hAnsi="Times New Roman Italic" w:cs="Times New Roman Italic"/>
          <w:i/>
          <w:iCs/>
          <w:sz w:val="24"/>
          <w:szCs w:val="21"/>
        </w:rPr>
        <w:t>P</w:t>
      </w:r>
      <w:r>
        <w:rPr>
          <w:rFonts w:hint="eastAsia"/>
          <w:sz w:val="24"/>
          <w:szCs w:val="21"/>
        </w:rPr>
        <w:t>&lt;0.05)。</w:t>
      </w:r>
    </w:p>
    <w:p w14:paraId="5DA86791">
      <w:pPr>
        <w:spacing w:line="360" w:lineRule="auto"/>
        <w:ind w:firstLine="420" w:firstLineChars="200"/>
        <w:rPr>
          <w:rFonts w:hint="eastAsia"/>
          <w:sz w:val="24"/>
          <w:szCs w:val="21"/>
        </w:rPr>
      </w:pPr>
      <w:r>
        <w:drawing>
          <wp:anchor distT="0" distB="0" distL="114300" distR="114300" simplePos="0" relativeHeight="251674624" behindDoc="0" locked="0" layoutInCell="1" allowOverlap="1">
            <wp:simplePos x="0" y="0"/>
            <wp:positionH relativeFrom="column">
              <wp:posOffset>-106045</wp:posOffset>
            </wp:positionH>
            <wp:positionV relativeFrom="paragraph">
              <wp:posOffset>35560</wp:posOffset>
            </wp:positionV>
            <wp:extent cx="5969000" cy="2527300"/>
            <wp:effectExtent l="0" t="0" r="0" b="0"/>
            <wp:wrapTopAndBottom/>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14"/>
                    <a:stretch>
                      <a:fillRect/>
                    </a:stretch>
                  </pic:blipFill>
                  <pic:spPr>
                    <a:xfrm>
                      <a:off x="0" y="0"/>
                      <a:ext cx="5969000" cy="2527300"/>
                    </a:xfrm>
                    <a:prstGeom prst="rect">
                      <a:avLst/>
                    </a:prstGeom>
                    <a:noFill/>
                    <a:ln>
                      <a:noFill/>
                    </a:ln>
                  </pic:spPr>
                </pic:pic>
              </a:graphicData>
            </a:graphic>
          </wp:anchor>
        </w:drawing>
      </w:r>
    </w:p>
    <w:p w14:paraId="466D4C31">
      <w:pPr>
        <w:spacing w:line="360" w:lineRule="auto"/>
        <w:ind w:firstLine="480" w:firstLineChars="200"/>
        <w:rPr>
          <w:rFonts w:hint="eastAsia"/>
          <w:sz w:val="24"/>
          <w:szCs w:val="21"/>
        </w:rPr>
      </w:pPr>
    </w:p>
    <w:p w14:paraId="129BF86D">
      <w:pPr>
        <w:spacing w:line="360" w:lineRule="auto"/>
        <w:rPr>
          <w:rFonts w:hint="eastAsia"/>
          <w:sz w:val="24"/>
          <w:szCs w:val="21"/>
        </w:rPr>
      </w:pPr>
    </w:p>
    <w:p w14:paraId="7E25668C">
      <w:pPr>
        <w:spacing w:line="360" w:lineRule="auto"/>
        <w:ind w:firstLine="480" w:firstLineChars="200"/>
        <w:rPr>
          <w:rFonts w:hint="eastAsia"/>
          <w:sz w:val="24"/>
          <w:szCs w:val="21"/>
        </w:rPr>
      </w:pPr>
    </w:p>
    <w:p w14:paraId="1C7E0D1D">
      <w:pPr>
        <w:spacing w:line="360" w:lineRule="auto"/>
        <w:ind w:firstLine="480" w:firstLineChars="200"/>
        <w:rPr>
          <w:rFonts w:hint="eastAsia"/>
          <w:sz w:val="24"/>
          <w:szCs w:val="21"/>
        </w:rPr>
      </w:pPr>
      <w:r>
        <w:rPr>
          <w:rFonts w:hint="eastAsia"/>
          <w:sz w:val="24"/>
          <w:szCs w:val="21"/>
        </w:rPr>
        <w:t>2.5</w:t>
      </w:r>
      <w:r>
        <w:rPr>
          <w:rFonts w:hint="default"/>
          <w:sz w:val="24"/>
          <w:szCs w:val="21"/>
          <w:lang w:val="en-US"/>
        </w:rPr>
        <w:t xml:space="preserve">  </w:t>
      </w:r>
      <w:r>
        <w:rPr>
          <w:rFonts w:hint="eastAsia"/>
          <w:sz w:val="24"/>
          <w:szCs w:val="21"/>
        </w:rPr>
        <w:t>饲料蛋白质水平对瓦氏黄颡鱼雌性亲本血清生化指标的影响</w:t>
      </w:r>
    </w:p>
    <w:p w14:paraId="21C1D70A">
      <w:pPr>
        <w:spacing w:line="360" w:lineRule="auto"/>
        <w:ind w:firstLine="480" w:firstLineChars="200"/>
        <w:rPr>
          <w:rFonts w:hint="eastAsia"/>
          <w:sz w:val="24"/>
          <w:szCs w:val="21"/>
        </w:rPr>
      </w:pPr>
      <w:r>
        <w:rPr>
          <w:rFonts w:hint="eastAsia"/>
          <w:sz w:val="24"/>
          <w:szCs w:val="21"/>
        </w:rPr>
        <w:t>由表5可知，饲料蛋白质水平对血清ALP、AST活性及ALB、TC含量无显著影响(</w:t>
      </w:r>
      <w:r>
        <w:rPr>
          <w:rFonts w:hint="default" w:ascii="Times New Roman Italic" w:hAnsi="Times New Roman Italic" w:cs="Times New Roman Italic"/>
          <w:i/>
          <w:iCs/>
          <w:sz w:val="24"/>
          <w:szCs w:val="21"/>
        </w:rPr>
        <w:t>P</w:t>
      </w:r>
      <w:r>
        <w:rPr>
          <w:rFonts w:hint="eastAsia"/>
          <w:sz w:val="24"/>
          <w:szCs w:val="21"/>
        </w:rPr>
        <w:t>&gt;0.05)。血清TP含量随饲料蛋白水平的升高呈上升趋势，P5组血清TP含量显著高于P1和P2组(</w:t>
      </w:r>
      <w:r>
        <w:rPr>
          <w:rFonts w:hint="default" w:ascii="Times New Roman Italic" w:hAnsi="Times New Roman Italic" w:cs="Times New Roman Italic"/>
          <w:i/>
          <w:iCs/>
          <w:sz w:val="24"/>
          <w:szCs w:val="21"/>
        </w:rPr>
        <w:t>P</w:t>
      </w:r>
      <w:r>
        <w:rPr>
          <w:rFonts w:hint="eastAsia"/>
          <w:sz w:val="24"/>
          <w:szCs w:val="21"/>
        </w:rPr>
        <w:t>&lt;0.05);P3组血清ALT活性显著低于P 1和P4组(</w:t>
      </w:r>
      <w:r>
        <w:rPr>
          <w:rFonts w:hint="default" w:ascii="Times New Roman Italic" w:hAnsi="Times New Roman Italic" w:cs="Times New Roman Italic"/>
          <w:i/>
          <w:iCs/>
          <w:sz w:val="24"/>
          <w:szCs w:val="21"/>
        </w:rPr>
        <w:t>P</w:t>
      </w:r>
      <w:r>
        <w:rPr>
          <w:rFonts w:hint="eastAsia"/>
          <w:sz w:val="24"/>
          <w:szCs w:val="21"/>
        </w:rPr>
        <w:t>&lt;0.05);P3组血清GLU含量显著低于其余各组(</w:t>
      </w:r>
      <w:r>
        <w:rPr>
          <w:rFonts w:hint="default" w:ascii="Times New Roman Italic" w:hAnsi="Times New Roman Italic" w:cs="Times New Roman Italic"/>
          <w:i/>
          <w:iCs/>
          <w:sz w:val="24"/>
          <w:szCs w:val="21"/>
        </w:rPr>
        <w:t>P</w:t>
      </w:r>
      <w:r>
        <w:rPr>
          <w:rFonts w:hint="eastAsia"/>
          <w:sz w:val="24"/>
          <w:szCs w:val="21"/>
        </w:rPr>
        <w:t>&lt;0.05);血清TG含量随饲料蛋白水平的升高呈先降后升趋势，P3组达最低值且显著低于除P4组外的其余各组(</w:t>
      </w:r>
      <w:r>
        <w:rPr>
          <w:rFonts w:hint="default" w:ascii="Times New Roman Italic" w:hAnsi="Times New Roman Italic" w:cs="Times New Roman Italic"/>
          <w:i/>
          <w:iCs/>
          <w:sz w:val="24"/>
          <w:szCs w:val="21"/>
        </w:rPr>
        <w:t>P</w:t>
      </w:r>
      <w:r>
        <w:rPr>
          <w:rFonts w:hint="eastAsia"/>
          <w:sz w:val="24"/>
          <w:szCs w:val="21"/>
        </w:rPr>
        <w:t>&lt;0.05)。</w:t>
      </w:r>
    </w:p>
    <w:p w14:paraId="433CF211">
      <w:pPr>
        <w:spacing w:line="360" w:lineRule="auto"/>
        <w:ind w:firstLine="420" w:firstLineChars="200"/>
        <w:rPr>
          <w:rFonts w:hint="eastAsia"/>
          <w:sz w:val="24"/>
          <w:szCs w:val="21"/>
        </w:rPr>
      </w:pPr>
      <w:r>
        <w:drawing>
          <wp:anchor distT="0" distB="0" distL="114300" distR="114300" simplePos="0" relativeHeight="251675648" behindDoc="0" locked="0" layoutInCell="1" allowOverlap="1">
            <wp:simplePos x="0" y="0"/>
            <wp:positionH relativeFrom="column">
              <wp:posOffset>62230</wp:posOffset>
            </wp:positionH>
            <wp:positionV relativeFrom="paragraph">
              <wp:posOffset>88900</wp:posOffset>
            </wp:positionV>
            <wp:extent cx="5969000" cy="4765675"/>
            <wp:effectExtent l="0" t="0" r="0" b="9525"/>
            <wp:wrapTopAndBottom/>
            <wp:docPr id="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pic:cNvPicPr>
                      <a:picLocks noChangeAspect="1"/>
                    </pic:cNvPicPr>
                  </pic:nvPicPr>
                  <pic:blipFill>
                    <a:blip r:embed="rId15"/>
                    <a:stretch>
                      <a:fillRect/>
                    </a:stretch>
                  </pic:blipFill>
                  <pic:spPr>
                    <a:xfrm>
                      <a:off x="0" y="0"/>
                      <a:ext cx="5969000" cy="4765675"/>
                    </a:xfrm>
                    <a:prstGeom prst="rect">
                      <a:avLst/>
                    </a:prstGeom>
                    <a:noFill/>
                    <a:ln>
                      <a:noFill/>
                    </a:ln>
                  </pic:spPr>
                </pic:pic>
              </a:graphicData>
            </a:graphic>
          </wp:anchor>
        </w:drawing>
      </w:r>
    </w:p>
    <w:p w14:paraId="15447044">
      <w:pPr>
        <w:spacing w:line="360" w:lineRule="auto"/>
        <w:ind w:firstLine="480" w:firstLineChars="200"/>
        <w:rPr>
          <w:rFonts w:hint="eastAsia"/>
          <w:sz w:val="24"/>
          <w:szCs w:val="21"/>
        </w:rPr>
      </w:pPr>
    </w:p>
    <w:p w14:paraId="1F69F447">
      <w:pPr>
        <w:spacing w:line="360" w:lineRule="auto"/>
        <w:ind w:firstLine="420" w:firstLineChars="200"/>
        <w:rPr>
          <w:rFonts w:hint="eastAsia"/>
          <w:sz w:val="24"/>
          <w:szCs w:val="21"/>
        </w:rPr>
      </w:pPr>
      <w:r>
        <w:drawing>
          <wp:anchor distT="0" distB="0" distL="114300" distR="114300" simplePos="0" relativeHeight="251670528" behindDoc="0" locked="0" layoutInCell="1" allowOverlap="1">
            <wp:simplePos x="0" y="0"/>
            <wp:positionH relativeFrom="column">
              <wp:posOffset>871220</wp:posOffset>
            </wp:positionH>
            <wp:positionV relativeFrom="paragraph">
              <wp:posOffset>41910</wp:posOffset>
            </wp:positionV>
            <wp:extent cx="3990975" cy="6276975"/>
            <wp:effectExtent l="0" t="0" r="9525" b="9525"/>
            <wp:wrapTopAndBottom/>
            <wp:docPr id="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
                    <pic:cNvPicPr>
                      <a:picLocks noChangeAspect="1"/>
                    </pic:cNvPicPr>
                  </pic:nvPicPr>
                  <pic:blipFill>
                    <a:blip r:embed="rId16"/>
                    <a:stretch>
                      <a:fillRect/>
                    </a:stretch>
                  </pic:blipFill>
                  <pic:spPr>
                    <a:xfrm>
                      <a:off x="0" y="0"/>
                      <a:ext cx="3990975" cy="6276975"/>
                    </a:xfrm>
                    <a:prstGeom prst="rect">
                      <a:avLst/>
                    </a:prstGeom>
                    <a:noFill/>
                    <a:ln>
                      <a:noFill/>
                    </a:ln>
                  </pic:spPr>
                </pic:pic>
              </a:graphicData>
            </a:graphic>
          </wp:anchor>
        </w:drawing>
      </w:r>
      <w:r>
        <w:rPr>
          <w:rFonts w:hint="eastAsia"/>
          <w:sz w:val="24"/>
          <w:szCs w:val="21"/>
        </w:rPr>
        <w:t>2.6</w:t>
      </w:r>
      <w:r>
        <w:rPr>
          <w:rFonts w:hint="default"/>
          <w:sz w:val="24"/>
          <w:szCs w:val="21"/>
          <w:lang w:val="en-US"/>
        </w:rPr>
        <w:t xml:space="preserve">  </w:t>
      </w:r>
      <w:r>
        <w:rPr>
          <w:rFonts w:hint="eastAsia"/>
          <w:sz w:val="24"/>
          <w:szCs w:val="21"/>
        </w:rPr>
        <w:t>饲料蛋白质水平对瓦氏黄颡鱼雌性亲本肝脏抗氧化指标和ALP活性的影响</w:t>
      </w:r>
    </w:p>
    <w:p w14:paraId="1A4C66AF">
      <w:pPr>
        <w:spacing w:line="360" w:lineRule="auto"/>
        <w:ind w:firstLine="480" w:firstLineChars="200"/>
        <w:rPr>
          <w:rFonts w:hint="eastAsia"/>
          <w:sz w:val="24"/>
          <w:szCs w:val="21"/>
        </w:rPr>
      </w:pPr>
      <w:r>
        <w:rPr>
          <w:rFonts w:hint="eastAsia"/>
          <w:sz w:val="24"/>
          <w:szCs w:val="21"/>
        </w:rPr>
        <w:t>由表6可知，P5组肝脏ALP活性最低，显著低于P2、P3及P4组(</w:t>
      </w:r>
      <w:r>
        <w:rPr>
          <w:rFonts w:hint="default" w:ascii="Times New Roman Italic" w:hAnsi="Times New Roman Italic" w:cs="Times New Roman Italic"/>
          <w:i/>
          <w:iCs/>
          <w:sz w:val="24"/>
          <w:szCs w:val="21"/>
        </w:rPr>
        <w:t>P</w:t>
      </w:r>
      <w:r>
        <w:rPr>
          <w:rFonts w:hint="eastAsia"/>
          <w:sz w:val="24"/>
          <w:szCs w:val="21"/>
        </w:rPr>
        <w:t>&lt;0.05);P4组肝脏SOD活性最高，显著高于其余各组(</w:t>
      </w:r>
      <w:r>
        <w:rPr>
          <w:rFonts w:hint="default" w:ascii="Times New Roman Italic" w:hAnsi="Times New Roman Italic" w:cs="Times New Roman Italic"/>
          <w:i/>
          <w:iCs/>
          <w:sz w:val="24"/>
          <w:szCs w:val="21"/>
        </w:rPr>
        <w:t>P</w:t>
      </w:r>
      <w:r>
        <w:rPr>
          <w:rFonts w:hint="eastAsia"/>
          <w:sz w:val="24"/>
          <w:szCs w:val="21"/>
        </w:rPr>
        <w:t>&lt;0.05);P5组肝脏MDA含量显著高于其余各组(</w:t>
      </w:r>
      <w:r>
        <w:rPr>
          <w:rFonts w:hint="default" w:ascii="Times New Roman Italic" w:hAnsi="Times New Roman Italic" w:cs="Times New Roman Italic"/>
          <w:i/>
          <w:iCs/>
          <w:sz w:val="24"/>
          <w:szCs w:val="21"/>
        </w:rPr>
        <w:t>P</w:t>
      </w:r>
      <w:r>
        <w:rPr>
          <w:rFonts w:hint="eastAsia"/>
          <w:sz w:val="24"/>
          <w:szCs w:val="21"/>
        </w:rPr>
        <w:t>&lt;0.05);P3组肝脏GSH含量最低，显著低于P1、P2及P5组(</w:t>
      </w:r>
      <w:r>
        <w:rPr>
          <w:rFonts w:hint="default" w:ascii="Times New Roman Italic" w:hAnsi="Times New Roman Italic" w:cs="Times New Roman Italic"/>
          <w:i/>
          <w:iCs/>
          <w:sz w:val="24"/>
          <w:szCs w:val="21"/>
        </w:rPr>
        <w:t>P</w:t>
      </w:r>
      <w:r>
        <w:rPr>
          <w:rFonts w:hint="eastAsia"/>
          <w:sz w:val="24"/>
          <w:szCs w:val="21"/>
        </w:rPr>
        <w:t>&lt;0.05)。</w:t>
      </w:r>
    </w:p>
    <w:p w14:paraId="53329C13">
      <w:pPr>
        <w:spacing w:line="360" w:lineRule="auto"/>
        <w:ind w:firstLine="480" w:firstLineChars="200"/>
        <w:rPr>
          <w:rFonts w:hint="eastAsia"/>
          <w:sz w:val="24"/>
          <w:szCs w:val="21"/>
        </w:rPr>
      </w:pPr>
      <w:r>
        <w:rPr>
          <w:rFonts w:hint="eastAsia"/>
          <w:sz w:val="24"/>
          <w:szCs w:val="21"/>
        </w:rPr>
        <w:t>2.7饲料蛋白质水平对瓦氏黄颡鱼雌性亲本F1代仔鱼生长性能的影响</w:t>
      </w:r>
    </w:p>
    <w:p w14:paraId="4C008D4A">
      <w:pPr>
        <w:spacing w:line="360" w:lineRule="auto"/>
        <w:ind w:firstLine="480" w:firstLineChars="200"/>
        <w:rPr>
          <w:rFonts w:hint="eastAsia"/>
          <w:sz w:val="24"/>
          <w:szCs w:val="21"/>
        </w:rPr>
      </w:pPr>
      <w:r>
        <w:rPr>
          <w:rFonts w:hint="eastAsia"/>
          <w:sz w:val="24"/>
          <w:szCs w:val="21"/>
        </w:rPr>
        <w:t>由表7可知，饲料蛋白质水平对Fl代仔鱼的初始体重有显著影响(</w:t>
      </w:r>
      <w:r>
        <w:rPr>
          <w:rFonts w:hint="default" w:ascii="Times New Roman Italic" w:hAnsi="Times New Roman Italic" w:cs="Times New Roman Italic"/>
          <w:i/>
          <w:iCs/>
          <w:sz w:val="24"/>
          <w:szCs w:val="21"/>
        </w:rPr>
        <w:t>P</w:t>
      </w:r>
      <w:r>
        <w:rPr>
          <w:rFonts w:hint="eastAsia"/>
          <w:sz w:val="24"/>
          <w:szCs w:val="21"/>
        </w:rPr>
        <w:t>&lt;0.05),P1组仔鱼初始体重显著低于其余各组(</w:t>
      </w:r>
      <w:r>
        <w:rPr>
          <w:rFonts w:hint="default" w:ascii="Times New Roman Italic" w:hAnsi="Times New Roman Italic" w:cs="Times New Roman Italic"/>
          <w:i/>
          <w:iCs/>
          <w:sz w:val="24"/>
          <w:szCs w:val="21"/>
        </w:rPr>
        <w:t>P</w:t>
      </w:r>
      <w:r>
        <w:rPr>
          <w:rFonts w:hint="eastAsia"/>
          <w:sz w:val="24"/>
          <w:szCs w:val="21"/>
        </w:rPr>
        <w:t>&lt;0.05)。仔鱼终末体重、WGR和SGR均在P5组达到最大值，并显著高于Pl组(</w:t>
      </w:r>
      <w:r>
        <w:rPr>
          <w:rFonts w:hint="default" w:ascii="Times New Roman Italic" w:hAnsi="Times New Roman Italic" w:cs="Times New Roman Italic"/>
          <w:i/>
          <w:iCs/>
          <w:sz w:val="24"/>
          <w:szCs w:val="21"/>
        </w:rPr>
        <w:t>P</w:t>
      </w:r>
      <w:r>
        <w:rPr>
          <w:rFonts w:hint="eastAsia"/>
          <w:sz w:val="24"/>
          <w:szCs w:val="21"/>
        </w:rPr>
        <w:t>&lt;0.05),但P3组、P4组与P5组间无显著差异(</w:t>
      </w:r>
      <w:r>
        <w:rPr>
          <w:rFonts w:hint="default" w:ascii="Times New Roman Italic" w:hAnsi="Times New Roman Italic" w:cs="Times New Roman Italic"/>
          <w:i/>
          <w:iCs/>
          <w:sz w:val="24"/>
          <w:szCs w:val="21"/>
        </w:rPr>
        <w:t>P</w:t>
      </w:r>
      <w:r>
        <w:rPr>
          <w:rFonts w:hint="eastAsia"/>
          <w:sz w:val="24"/>
          <w:szCs w:val="21"/>
        </w:rPr>
        <w:t>&gt;0.05)。P3、P4及P5组仔鱼存活率显著高于Pl组(</w:t>
      </w:r>
      <w:r>
        <w:rPr>
          <w:rFonts w:hint="default" w:ascii="Times New Roman Italic" w:hAnsi="Times New Roman Italic" w:cs="Times New Roman Italic"/>
          <w:i/>
          <w:iCs/>
          <w:sz w:val="24"/>
          <w:szCs w:val="21"/>
        </w:rPr>
        <w:t>P</w:t>
      </w:r>
      <w:r>
        <w:rPr>
          <w:rFonts w:hint="eastAsia"/>
          <w:sz w:val="24"/>
          <w:szCs w:val="21"/>
        </w:rPr>
        <w:t>&lt;0.05)。由图3可知，孵化后第12天，P5组仔鱼全长最长，显著高于Pl和P2组(</w:t>
      </w:r>
      <w:r>
        <w:rPr>
          <w:rFonts w:hint="default" w:ascii="Times New Roman Italic" w:hAnsi="Times New Roman Italic" w:cs="Times New Roman Italic"/>
          <w:i/>
          <w:iCs/>
          <w:sz w:val="24"/>
          <w:szCs w:val="21"/>
        </w:rPr>
        <w:t>P</w:t>
      </w:r>
      <w:r>
        <w:rPr>
          <w:rFonts w:hint="eastAsia"/>
          <w:sz w:val="24"/>
          <w:szCs w:val="21"/>
        </w:rPr>
        <w:t>&lt;0.05),但与P3和P4组无显著差异(</w:t>
      </w:r>
      <w:r>
        <w:rPr>
          <w:rFonts w:hint="default" w:ascii="Times New Roman Italic" w:hAnsi="Times New Roman Italic" w:cs="Times New Roman Italic"/>
          <w:i/>
          <w:iCs/>
          <w:sz w:val="24"/>
          <w:szCs w:val="21"/>
        </w:rPr>
        <w:t>P</w:t>
      </w:r>
      <w:r>
        <w:rPr>
          <w:rFonts w:hint="eastAsia"/>
          <w:sz w:val="24"/>
          <w:szCs w:val="21"/>
        </w:rPr>
        <w:t>&gt;0.05)。</w:t>
      </w:r>
    </w:p>
    <w:p w14:paraId="2DF39193">
      <w:pPr>
        <w:spacing w:line="360" w:lineRule="auto"/>
        <w:ind w:firstLine="420" w:firstLineChars="200"/>
        <w:rPr>
          <w:rFonts w:hint="eastAsia"/>
          <w:sz w:val="24"/>
          <w:szCs w:val="21"/>
        </w:rPr>
      </w:pPr>
      <w:r>
        <w:drawing>
          <wp:anchor distT="0" distB="0" distL="114300" distR="114300" simplePos="0" relativeHeight="251676672" behindDoc="0" locked="0" layoutInCell="1" allowOverlap="1">
            <wp:simplePos x="0" y="0"/>
            <wp:positionH relativeFrom="column">
              <wp:posOffset>-108585</wp:posOffset>
            </wp:positionH>
            <wp:positionV relativeFrom="paragraph">
              <wp:posOffset>44450</wp:posOffset>
            </wp:positionV>
            <wp:extent cx="6250305" cy="2790825"/>
            <wp:effectExtent l="0" t="0" r="10795" b="3175"/>
            <wp:wrapTopAndBottom/>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pic:cNvPicPr>
                  </pic:nvPicPr>
                  <pic:blipFill>
                    <a:blip r:embed="rId17"/>
                    <a:stretch>
                      <a:fillRect/>
                    </a:stretch>
                  </pic:blipFill>
                  <pic:spPr>
                    <a:xfrm>
                      <a:off x="0" y="0"/>
                      <a:ext cx="6250305" cy="2790825"/>
                    </a:xfrm>
                    <a:prstGeom prst="rect">
                      <a:avLst/>
                    </a:prstGeom>
                    <a:noFill/>
                    <a:ln>
                      <a:noFill/>
                    </a:ln>
                  </pic:spPr>
                </pic:pic>
              </a:graphicData>
            </a:graphic>
          </wp:anchor>
        </w:drawing>
      </w:r>
      <w:r>
        <w:drawing>
          <wp:anchor distT="0" distB="0" distL="114300" distR="114300" simplePos="0" relativeHeight="251677696" behindDoc="0" locked="0" layoutInCell="1" allowOverlap="1">
            <wp:simplePos x="0" y="0"/>
            <wp:positionH relativeFrom="column">
              <wp:posOffset>1306195</wp:posOffset>
            </wp:positionH>
            <wp:positionV relativeFrom="paragraph">
              <wp:posOffset>2870200</wp:posOffset>
            </wp:positionV>
            <wp:extent cx="3300730" cy="4693285"/>
            <wp:effectExtent l="0" t="0" r="1270" b="5715"/>
            <wp:wrapTopAndBottom/>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18"/>
                    <a:stretch>
                      <a:fillRect/>
                    </a:stretch>
                  </pic:blipFill>
                  <pic:spPr>
                    <a:xfrm>
                      <a:off x="0" y="0"/>
                      <a:ext cx="3300730" cy="4693285"/>
                    </a:xfrm>
                    <a:prstGeom prst="rect">
                      <a:avLst/>
                    </a:prstGeom>
                    <a:noFill/>
                    <a:ln>
                      <a:noFill/>
                    </a:ln>
                  </pic:spPr>
                </pic:pic>
              </a:graphicData>
            </a:graphic>
          </wp:anchor>
        </w:drawing>
      </w:r>
    </w:p>
    <w:p w14:paraId="414166B2">
      <w:pPr>
        <w:spacing w:line="360" w:lineRule="auto"/>
        <w:ind w:firstLine="480" w:firstLineChars="200"/>
        <w:rPr>
          <w:rFonts w:hint="eastAsia"/>
          <w:sz w:val="24"/>
          <w:szCs w:val="21"/>
        </w:rPr>
      </w:pPr>
    </w:p>
    <w:p w14:paraId="42CC9D8A">
      <w:pPr>
        <w:spacing w:line="360" w:lineRule="auto"/>
        <w:ind w:firstLine="480" w:firstLineChars="200"/>
        <w:rPr>
          <w:rFonts w:hint="eastAsia"/>
          <w:sz w:val="24"/>
          <w:szCs w:val="21"/>
        </w:rPr>
      </w:pPr>
      <w:r>
        <w:rPr>
          <w:rFonts w:hint="eastAsia"/>
          <w:sz w:val="24"/>
          <w:szCs w:val="21"/>
        </w:rPr>
        <w:t>3</w:t>
      </w:r>
      <w:r>
        <w:rPr>
          <w:rFonts w:hint="default"/>
          <w:sz w:val="24"/>
          <w:szCs w:val="21"/>
          <w:lang w:val="en-US"/>
        </w:rPr>
        <w:t xml:space="preserve"> </w:t>
      </w:r>
      <w:r>
        <w:rPr>
          <w:rFonts w:hint="eastAsia"/>
          <w:sz w:val="24"/>
          <w:szCs w:val="21"/>
        </w:rPr>
        <w:t>讨论</w:t>
      </w:r>
    </w:p>
    <w:p w14:paraId="10DB5D06">
      <w:pPr>
        <w:spacing w:line="360" w:lineRule="auto"/>
        <w:ind w:firstLine="480" w:firstLineChars="200"/>
        <w:rPr>
          <w:rFonts w:hint="eastAsia"/>
          <w:sz w:val="24"/>
          <w:szCs w:val="21"/>
        </w:rPr>
      </w:pPr>
      <w:r>
        <w:rPr>
          <w:rFonts w:hint="eastAsia"/>
          <w:sz w:val="24"/>
          <w:szCs w:val="21"/>
        </w:rPr>
        <w:t>3.1</w:t>
      </w:r>
      <w:r>
        <w:rPr>
          <w:rFonts w:hint="default"/>
          <w:sz w:val="24"/>
          <w:szCs w:val="21"/>
          <w:lang w:val="en-US"/>
        </w:rPr>
        <w:t xml:space="preserve">  </w:t>
      </w:r>
      <w:r>
        <w:rPr>
          <w:rFonts w:hint="eastAsia"/>
          <w:sz w:val="24"/>
          <w:szCs w:val="21"/>
        </w:rPr>
        <w:t>饲料蛋白质水平对瓦氏黄颡鱼雌性亲本生长性能的影响</w:t>
      </w:r>
    </w:p>
    <w:p w14:paraId="7FB7D4B2">
      <w:pPr>
        <w:spacing w:line="360" w:lineRule="auto"/>
        <w:ind w:firstLine="480" w:firstLineChars="200"/>
        <w:rPr>
          <w:rFonts w:hint="eastAsia"/>
          <w:sz w:val="24"/>
          <w:szCs w:val="21"/>
        </w:rPr>
      </w:pPr>
      <w:r>
        <w:rPr>
          <w:rFonts w:hint="eastAsia"/>
          <w:sz w:val="24"/>
          <w:szCs w:val="21"/>
        </w:rPr>
        <w:t>精准投喂是提高水产养殖生产效率的重要途径，然而目前针对亲鱼营养的研究仍相对缺乏。在实际养殖过程中，由于缺乏专用亲鱼饲料，常出现亲鱼性腺发育不良、受精率低及仔鱼质量差等问题</w:t>
      </w:r>
      <w:r>
        <w:rPr>
          <w:rFonts w:hint="eastAsia"/>
          <w:sz w:val="24"/>
          <w:szCs w:val="21"/>
          <w:vertAlign w:val="superscript"/>
        </w:rPr>
        <w:t>[15]</w:t>
      </w:r>
      <w:r>
        <w:rPr>
          <w:rFonts w:hint="eastAsia"/>
          <w:sz w:val="24"/>
          <w:szCs w:val="21"/>
        </w:rPr>
        <w:t>。本研究结果显示，饲料蛋白质水平显著影响瓦氏黄颡鱼雌性亲本的终末体重、WGR和SGR;当饲料蛋白质水平为47.45%(P3组)和54.14%(P4组)时，亲鱼的上述指标均显著高于34.27%(P1组)、40.85%(P2组)和60.63%(P5组)蛋白质水平组。该结果与已有研究结果</w:t>
      </w:r>
      <w:r>
        <w:rPr>
          <w:rFonts w:hint="eastAsia"/>
          <w:sz w:val="24"/>
          <w:szCs w:val="21"/>
          <w:vertAlign w:val="superscript"/>
        </w:rPr>
        <w:t>[15-16]</w:t>
      </w:r>
      <w:r>
        <w:rPr>
          <w:rFonts w:hint="eastAsia"/>
          <w:sz w:val="24"/>
          <w:szCs w:val="21"/>
        </w:rPr>
        <w:t>相符，表明适宜的饲料蛋白质水平可显著改善养殖鱼类的生长性能。蛋白质是鱼类完成各项生理过程所必需的关键营养素，繁殖期鱼类对蛋白质的需求通常高于其他发育阶段。Chen等</w:t>
      </w:r>
      <w:r>
        <w:rPr>
          <w:rFonts w:hint="eastAsia"/>
          <w:sz w:val="24"/>
          <w:szCs w:val="21"/>
          <w:vertAlign w:val="superscript"/>
        </w:rPr>
        <w:t>[5</w:t>
      </w:r>
      <w:r>
        <w:rPr>
          <w:rFonts w:hint="default"/>
          <w:sz w:val="24"/>
          <w:szCs w:val="21"/>
          <w:vertAlign w:val="superscript"/>
          <w:lang w:val="en-US"/>
        </w:rPr>
        <w:t>]</w:t>
      </w:r>
      <w:r>
        <w:rPr>
          <w:rFonts w:hint="eastAsia"/>
          <w:sz w:val="24"/>
          <w:szCs w:val="21"/>
        </w:rPr>
        <w:t>针对黄颡鱼(</w:t>
      </w:r>
      <w:r>
        <w:rPr>
          <w:rFonts w:hint="default" w:ascii="Times New Roman Italic" w:hAnsi="Times New Roman Italic" w:cs="Times New Roman Italic"/>
          <w:i/>
          <w:iCs/>
          <w:sz w:val="24"/>
          <w:szCs w:val="21"/>
        </w:rPr>
        <w:t>Pelteobagrus fulvidraco</w:t>
      </w:r>
      <w:r>
        <w:rPr>
          <w:rFonts w:hint="eastAsia"/>
          <w:sz w:val="24"/>
          <w:szCs w:val="21"/>
        </w:rPr>
        <w:t>)的研究表明，与34.40%的饲料蛋白质水平相比，44.15%～52.72%的蛋白质水平可显著提高亲鱼的终末体重、WGR和SGR。本研究确定的瓦氏黄颡鱼亲鱼适宜饲料蛋白质水平略高于该研究结果，这一差异可能源于物种生物学特性的不同：与黄颡鱼相比，瓦氏黄颡鱼雌性亲鱼个体更大、怀卵量更多，因此在繁殖过程中对蛋白质的需求相应更高。本研究中，瓦氏黄颡鱼亲鱼的WGR处于较低水平(14.43%~38.08%),与田佳明等</w:t>
      </w:r>
      <w:r>
        <w:rPr>
          <w:rFonts w:hint="eastAsia"/>
          <w:sz w:val="24"/>
          <w:szCs w:val="21"/>
          <w:vertAlign w:val="superscript"/>
        </w:rPr>
        <w:t>[17]</w:t>
      </w:r>
      <w:r>
        <w:rPr>
          <w:rFonts w:hint="eastAsia"/>
          <w:sz w:val="24"/>
          <w:szCs w:val="21"/>
        </w:rPr>
        <w:t>的研究结果一致，其原因可能在于试验亲鱼初始体重较高，且繁殖期间摄取的能量主要分配于性腺发育。此外，本研究发现亲鱼MFI随饲料蛋白质水平的升高呈降低趋势，且与GSI呈负相关，这与胡伟华等</w:t>
      </w:r>
      <w:r>
        <w:rPr>
          <w:rFonts w:hint="eastAsia"/>
          <w:sz w:val="24"/>
          <w:szCs w:val="21"/>
          <w:vertAlign w:val="superscript"/>
        </w:rPr>
        <w:t>[18]</w:t>
      </w:r>
      <w:r>
        <w:rPr>
          <w:rFonts w:hint="eastAsia"/>
          <w:sz w:val="24"/>
          <w:szCs w:val="21"/>
        </w:rPr>
        <w:t>在黄颡鱼中的发现相似，即MFI较高的亲鱼，其GSI往往较低，该现象的具体调控机制仍有待进一步研究。</w:t>
      </w:r>
    </w:p>
    <w:p w14:paraId="2B660159">
      <w:pPr>
        <w:spacing w:line="360" w:lineRule="auto"/>
        <w:ind w:firstLine="360" w:firstLineChars="150"/>
        <w:rPr>
          <w:rFonts w:hint="eastAsia"/>
          <w:sz w:val="24"/>
          <w:szCs w:val="21"/>
        </w:rPr>
      </w:pPr>
      <w:r>
        <w:rPr>
          <w:rFonts w:hint="eastAsia"/>
          <w:sz w:val="24"/>
          <w:szCs w:val="21"/>
        </w:rPr>
        <w:t>3.2  饲料蛋白质水平对瓦氏黄颡鱼雌性亲本繁殖性能的影响</w:t>
      </w:r>
    </w:p>
    <w:p w14:paraId="3CD6D7AA">
      <w:pPr>
        <w:spacing w:line="360" w:lineRule="auto"/>
        <w:ind w:firstLine="360" w:firstLineChars="150"/>
        <w:rPr>
          <w:rFonts w:hint="eastAsia"/>
          <w:sz w:val="24"/>
          <w:szCs w:val="21"/>
        </w:rPr>
      </w:pPr>
      <w:r>
        <w:rPr>
          <w:rFonts w:hint="eastAsia"/>
          <w:sz w:val="24"/>
          <w:szCs w:val="21"/>
        </w:rPr>
        <w:t>亲本营养对卵子发生和性腺发育具有关键作用。蛋白质被认为是卵子发生和胚胎发育过程中的关键营养素之一</w:t>
      </w:r>
      <w:r>
        <w:rPr>
          <w:rFonts w:hint="eastAsia"/>
          <w:sz w:val="24"/>
          <w:szCs w:val="21"/>
          <w:vertAlign w:val="superscript"/>
        </w:rPr>
        <w:t>[19]</w:t>
      </w:r>
      <w:r>
        <w:rPr>
          <w:rFonts w:hint="eastAsia"/>
          <w:sz w:val="24"/>
          <w:szCs w:val="21"/>
        </w:rPr>
        <w:t>。本研究结果表明，适宜的饲料蛋白质水平可提高瓦氏黄颡鱼雌性亲本的GSI、AF及RF。这一发现与在黄颡鱼</w:t>
      </w:r>
      <w:r>
        <w:rPr>
          <w:rFonts w:hint="eastAsia"/>
          <w:sz w:val="24"/>
          <w:szCs w:val="21"/>
          <w:vertAlign w:val="superscript"/>
        </w:rPr>
        <w:t>[5]</w:t>
      </w:r>
      <w:r>
        <w:rPr>
          <w:rFonts w:hint="eastAsia"/>
          <w:sz w:val="24"/>
          <w:szCs w:val="21"/>
        </w:rPr>
        <w:t>、亚洲鲶鱼(</w:t>
      </w:r>
      <w:r>
        <w:rPr>
          <w:rFonts w:hint="default" w:ascii="Times New Roman Italic" w:hAnsi="Times New Roman Italic" w:cs="Times New Roman Italic"/>
          <w:i/>
          <w:iCs/>
          <w:sz w:val="24"/>
          <w:szCs w:val="21"/>
        </w:rPr>
        <w:t>Clarias batrachus</w:t>
      </w:r>
      <w:r>
        <w:rPr>
          <w:rFonts w:hint="eastAsia"/>
          <w:sz w:val="24"/>
          <w:szCs w:val="21"/>
        </w:rPr>
        <w:t>)</w:t>
      </w:r>
      <w:r>
        <w:rPr>
          <w:rFonts w:hint="eastAsia"/>
          <w:sz w:val="24"/>
          <w:szCs w:val="21"/>
          <w:vertAlign w:val="superscript"/>
        </w:rPr>
        <w:t>[20]</w:t>
      </w:r>
      <w:r>
        <w:rPr>
          <w:rFonts w:hint="eastAsia"/>
          <w:sz w:val="24"/>
          <w:szCs w:val="21"/>
        </w:rPr>
        <w:t>、高体鰤(</w:t>
      </w:r>
      <w:r>
        <w:rPr>
          <w:rFonts w:hint="default" w:ascii="Times New Roman Italic" w:hAnsi="Times New Roman Italic" w:cs="Times New Roman Italic"/>
          <w:i/>
          <w:iCs/>
          <w:sz w:val="24"/>
          <w:szCs w:val="21"/>
        </w:rPr>
        <w:t>Seriola dumerili</w:t>
      </w:r>
      <w:r>
        <w:rPr>
          <w:rFonts w:hint="eastAsia"/>
          <w:sz w:val="24"/>
          <w:szCs w:val="21"/>
        </w:rPr>
        <w:t>)</w:t>
      </w:r>
      <w:r>
        <w:rPr>
          <w:rFonts w:hint="eastAsia"/>
          <w:sz w:val="24"/>
          <w:szCs w:val="21"/>
          <w:vertAlign w:val="superscript"/>
        </w:rPr>
        <w:t>[6]</w:t>
      </w:r>
      <w:r>
        <w:rPr>
          <w:rFonts w:hint="eastAsia"/>
          <w:sz w:val="24"/>
          <w:szCs w:val="21"/>
        </w:rPr>
        <w:t>和罗非鱼(</w:t>
      </w:r>
      <w:r>
        <w:rPr>
          <w:rFonts w:hint="default" w:ascii="Times New Roman Italic" w:hAnsi="Times New Roman Italic" w:cs="Times New Roman Italic"/>
          <w:i/>
          <w:iCs/>
          <w:sz w:val="24"/>
          <w:szCs w:val="21"/>
        </w:rPr>
        <w:t>Oreochromis niloticus</w:t>
      </w:r>
      <w:r>
        <w:rPr>
          <w:rFonts w:hint="eastAsia"/>
          <w:sz w:val="24"/>
          <w:szCs w:val="21"/>
        </w:rPr>
        <w:t>)</w:t>
      </w:r>
      <w:r>
        <w:rPr>
          <w:rFonts w:hint="eastAsia"/>
          <w:sz w:val="24"/>
          <w:szCs w:val="21"/>
          <w:vertAlign w:val="superscript"/>
        </w:rPr>
        <w:t>[21]</w:t>
      </w:r>
      <w:r>
        <w:rPr>
          <w:rFonts w:hint="eastAsia"/>
          <w:sz w:val="24"/>
          <w:szCs w:val="21"/>
        </w:rPr>
        <w:t>中的研究结果一致，说明适宜的饲料蛋白质水平有助于提升亲本的繁殖性能；而饲料蛋白质供应不足则会导致亲本繁殖性能下降</w:t>
      </w:r>
      <w:r>
        <w:rPr>
          <w:rFonts w:hint="eastAsia"/>
          <w:sz w:val="24"/>
          <w:szCs w:val="21"/>
          <w:vertAlign w:val="superscript"/>
        </w:rPr>
        <w:t>[22]</w:t>
      </w:r>
      <w:r>
        <w:rPr>
          <w:rFonts w:hint="eastAsia"/>
          <w:sz w:val="24"/>
          <w:szCs w:val="21"/>
        </w:rPr>
        <w:t>。卵巢形态学观察结果显示，随着饲料蛋白质水平的升高，瓦氏黄颡鱼雌性亲本卵巢中第Ⅴ、Ⅵ时相卵母细胞的占比呈上升趋势，这进一步证实了适宜的蛋白质水平对卵巢发育的促进作用。在卵黄形成期，E2含量会随性腺发育逐步升高，进而诱导肝脏合成Vtg</w:t>
      </w:r>
      <w:r>
        <w:rPr>
          <w:rFonts w:hint="eastAsia"/>
          <w:sz w:val="24"/>
          <w:szCs w:val="21"/>
          <w:vertAlign w:val="superscript"/>
        </w:rPr>
        <w:t>[23]</w:t>
      </w:r>
      <w:r>
        <w:rPr>
          <w:rFonts w:hint="eastAsia"/>
          <w:sz w:val="24"/>
          <w:szCs w:val="21"/>
        </w:rPr>
        <w:t>。Vtg经血液循环转运至卵巢后，会被发育中的卵母细胞通过胞饮作用摄取，并进一步转化为卵黄蛋白储存于卵内，为后续胚胎发育提供营养储备。卵巢中Vtg的含量直接反映卵黄积累状况，是评估卵子质量和胚胎存活潜力的关键指标</w:t>
      </w:r>
      <w:r>
        <w:rPr>
          <w:rFonts w:hint="eastAsia"/>
          <w:sz w:val="24"/>
          <w:szCs w:val="21"/>
          <w:vertAlign w:val="superscript"/>
        </w:rPr>
        <w:t>[2]</w:t>
      </w:r>
      <w:r>
        <w:rPr>
          <w:rFonts w:hint="eastAsia"/>
          <w:sz w:val="24"/>
          <w:szCs w:val="21"/>
        </w:rPr>
        <w:t>。本研究中，尽管各组间血清与卵巢E2含量未呈现显著差异，但P3和P4组卵巢Vtg含量显著高于P1组。这一结果可从卵黄发生的动态过程得到解释：在卵黄发生的主要阶段，适宜的高蛋白质饲料可能持续促进了肝脏Vtg的合成及其向卵巢的转运过程。在该过程中，E2作为关键启动信号，其含量可能在卵黄发生前期已达到峰值并发挥诱导作用；至性腺发育后期，E2含量进入平台期，波动趋于平稳</w:t>
      </w:r>
      <w:r>
        <w:rPr>
          <w:rFonts w:hint="eastAsia"/>
          <w:sz w:val="24"/>
          <w:szCs w:val="21"/>
          <w:vertAlign w:val="superscript"/>
        </w:rPr>
        <w:t>[24]</w:t>
      </w:r>
      <w:r>
        <w:rPr>
          <w:rFonts w:hint="eastAsia"/>
          <w:sz w:val="24"/>
          <w:szCs w:val="21"/>
        </w:rPr>
        <w:t>。由此表明，饲料蛋白质水平可能通过调控整个卵黄积累过程的效率，影响亲本卵巢中的Vtg储备量，进而改善其繁殖性能。</w:t>
      </w:r>
    </w:p>
    <w:p w14:paraId="55A709A7">
      <w:pPr>
        <w:spacing w:line="360" w:lineRule="auto"/>
        <w:ind w:firstLine="360" w:firstLineChars="150"/>
        <w:rPr>
          <w:rFonts w:hint="eastAsia"/>
          <w:sz w:val="24"/>
          <w:szCs w:val="21"/>
        </w:rPr>
      </w:pPr>
      <w:r>
        <w:rPr>
          <w:rFonts w:hint="eastAsia"/>
          <w:sz w:val="24"/>
          <w:szCs w:val="21"/>
        </w:rPr>
        <w:t>3.3  饲料蛋白质水平对瓦氏黄颡鱼雌性亲本血清 生化指标的影响</w:t>
      </w:r>
    </w:p>
    <w:p w14:paraId="79BF314F">
      <w:pPr>
        <w:spacing w:line="360" w:lineRule="auto"/>
        <w:ind w:firstLine="360" w:firstLineChars="150"/>
        <w:rPr>
          <w:rFonts w:hint="eastAsia"/>
          <w:sz w:val="24"/>
          <w:szCs w:val="21"/>
        </w:rPr>
      </w:pPr>
      <w:r>
        <w:rPr>
          <w:rFonts w:hint="eastAsia"/>
          <w:sz w:val="24"/>
          <w:szCs w:val="21"/>
        </w:rPr>
        <w:t>血清生化指标是评估鱼类机体健康、代谢状态和营养水平的重要手段</w:t>
      </w:r>
      <w:r>
        <w:rPr>
          <w:rFonts w:hint="eastAsia"/>
          <w:sz w:val="24"/>
          <w:szCs w:val="21"/>
          <w:vertAlign w:val="superscript"/>
        </w:rPr>
        <w:t>[25]</w:t>
      </w:r>
      <w:r>
        <w:rPr>
          <w:rFonts w:hint="eastAsia"/>
          <w:sz w:val="24"/>
          <w:szCs w:val="21"/>
        </w:rPr>
        <w:t>。TP和ALB主要反映肝脏的合成功能和机体的整体营养状况。本研究中，血清TP和ALB含量随饲料蛋白质水平的升高呈上升趋势，表明适宜的饲料蛋白质水平有利于肝脏蛋白质的合成，反映出机体处于良好的营养状态。AST和ALT为肝细胞内酶，血清中二者活性异常升高通常提示肝细胞发生损伤</w:t>
      </w:r>
      <w:r>
        <w:rPr>
          <w:rFonts w:hint="eastAsia"/>
          <w:sz w:val="24"/>
          <w:szCs w:val="21"/>
          <w:vertAlign w:val="superscript"/>
        </w:rPr>
        <w:t>[25]</w:t>
      </w:r>
      <w:r>
        <w:rPr>
          <w:rFonts w:hint="eastAsia"/>
          <w:sz w:val="24"/>
          <w:szCs w:val="21"/>
        </w:rPr>
        <w:t>。本研究结果显示，P3组血清ALT活性较P1组显著降低，而饲料蛋白质水平过高则会导致其活性上升，这可能与高蛋白质饲料加重肝脏代谢负荷，进而引发肝细胞损伤有关。该结果与鳙(</w:t>
      </w:r>
      <w:r>
        <w:rPr>
          <w:rFonts w:hint="default" w:ascii="Times New Roman Italic" w:hAnsi="Times New Roman Italic" w:cs="Times New Roman Italic"/>
          <w:i/>
          <w:iCs/>
          <w:sz w:val="24"/>
          <w:szCs w:val="21"/>
        </w:rPr>
        <w:t>Aristichthys</w:t>
      </w:r>
      <w:r>
        <w:rPr>
          <w:rFonts w:hint="default" w:ascii="Times New Roman Italic" w:hAnsi="Times New Roman Italic" w:cs="Times New Roman Italic"/>
          <w:i/>
          <w:iCs/>
          <w:sz w:val="24"/>
          <w:szCs w:val="21"/>
          <w:lang w:val="en-US"/>
        </w:rPr>
        <w:t xml:space="preserve"> </w:t>
      </w:r>
      <w:r>
        <w:rPr>
          <w:rFonts w:hint="default" w:ascii="Times New Roman Italic" w:hAnsi="Times New Roman Italic" w:cs="Times New Roman Italic"/>
          <w:i/>
          <w:iCs/>
          <w:sz w:val="24"/>
          <w:szCs w:val="21"/>
        </w:rPr>
        <w:t>nobilis</w:t>
      </w:r>
      <w:r>
        <w:rPr>
          <w:rFonts w:hint="eastAsia"/>
          <w:sz w:val="24"/>
          <w:szCs w:val="21"/>
        </w:rPr>
        <w:t>)中的研究结果一致，其摄入高蛋白质饲料后，肝脏组织出现炎性细胞浸润，血清AST和ALT活性也显著上升</w:t>
      </w:r>
      <w:r>
        <w:rPr>
          <w:rFonts w:hint="eastAsia"/>
          <w:sz w:val="24"/>
          <w:szCs w:val="21"/>
          <w:vertAlign w:val="superscript"/>
        </w:rPr>
        <w:t>[26]</w:t>
      </w:r>
      <w:r>
        <w:rPr>
          <w:rFonts w:hint="eastAsia"/>
          <w:sz w:val="24"/>
          <w:szCs w:val="21"/>
        </w:rPr>
        <w:t>。TG和TC等脂类代谢指标与机体的能量平衡、肝脏脂质合成与输出以及内分泌功能密切相关。P3组血清GLU和TG含量较P1组显著降低，提示该蛋白质水平下鱼体的能量代谢处于高效平衡状态，外周组织对血液中GLU和TG的利用较为充分。而当饲料蛋白质水平过高时，肝脏代谢负担加重，过量氨基酸经脱氨基作用后，其碳骨架可通过糖异生途径转化为GLU,或经乙酰辅酶A途径从头合成脂肪，这可能是P5组血清GLU和TG含量回升的主要原因。</w:t>
      </w:r>
    </w:p>
    <w:p w14:paraId="50E5C419">
      <w:pPr>
        <w:spacing w:line="360" w:lineRule="auto"/>
        <w:ind w:firstLine="480" w:firstLineChars="200"/>
        <w:rPr>
          <w:rFonts w:hint="eastAsia"/>
          <w:sz w:val="24"/>
          <w:szCs w:val="21"/>
        </w:rPr>
      </w:pPr>
      <w:r>
        <w:rPr>
          <w:rFonts w:hint="eastAsia"/>
          <w:sz w:val="24"/>
          <w:szCs w:val="21"/>
        </w:rPr>
        <w:t>3.4</w:t>
      </w:r>
      <w:r>
        <w:rPr>
          <w:rFonts w:hint="default"/>
          <w:sz w:val="24"/>
          <w:szCs w:val="21"/>
          <w:lang w:val="en-US"/>
        </w:rPr>
        <w:t xml:space="preserve">  </w:t>
      </w:r>
      <w:r>
        <w:rPr>
          <w:rFonts w:hint="eastAsia"/>
          <w:sz w:val="24"/>
          <w:szCs w:val="21"/>
        </w:rPr>
        <w:t>饲料蛋白质水平对瓦氏黄颡鱼雌性亲本肝脏功能和抗氧化能力的影响</w:t>
      </w:r>
    </w:p>
    <w:p w14:paraId="401800F6">
      <w:pPr>
        <w:spacing w:line="360" w:lineRule="auto"/>
        <w:ind w:firstLine="480" w:firstLineChars="200"/>
        <w:rPr>
          <w:rFonts w:hint="eastAsia"/>
          <w:sz w:val="24"/>
          <w:szCs w:val="21"/>
        </w:rPr>
      </w:pPr>
      <w:r>
        <w:rPr>
          <w:rFonts w:hint="eastAsia"/>
          <w:sz w:val="24"/>
          <w:szCs w:val="21"/>
        </w:rPr>
        <w:t>ALP是评估肝脏功能的重要指标，其活性异常降低常提示肝细胞合成功能受损、能量代谢障碍或机体处于营养不良状态</w:t>
      </w:r>
      <w:r>
        <w:rPr>
          <w:rFonts w:hint="eastAsia"/>
          <w:sz w:val="24"/>
          <w:szCs w:val="21"/>
          <w:vertAlign w:val="superscript"/>
        </w:rPr>
        <w:t>[27]</w:t>
      </w:r>
      <w:r>
        <w:rPr>
          <w:rFonts w:hint="eastAsia"/>
          <w:sz w:val="24"/>
          <w:szCs w:val="21"/>
        </w:rPr>
        <w:t>。MDA含量则常用于反映鱼类体内脂质过氧化及氧化应激程度</w:t>
      </w:r>
      <w:r>
        <w:rPr>
          <w:rFonts w:hint="eastAsia"/>
          <w:sz w:val="24"/>
          <w:szCs w:val="21"/>
          <w:vertAlign w:val="superscript"/>
        </w:rPr>
        <w:t>[28</w:t>
      </w:r>
      <w:r>
        <w:rPr>
          <w:rFonts w:hint="default"/>
          <w:sz w:val="24"/>
          <w:szCs w:val="21"/>
          <w:vertAlign w:val="superscript"/>
          <w:lang w:val="en-US"/>
        </w:rPr>
        <w:t>]</w:t>
      </w:r>
      <w:r>
        <w:rPr>
          <w:rFonts w:hint="eastAsia"/>
          <w:sz w:val="24"/>
          <w:szCs w:val="21"/>
        </w:rPr>
        <w:t>。本研究中，当饲料蛋白质水平过高时，肝脏MDA含量升高，ALP活性降低，表明过量蛋白质摄入可能通过产生较多代谢废物(如氨、尿素)以及增强产生活性氧的代谢过程，引发肝细胞损伤和脂质过氧化。该结果与在黄颡鱼</w:t>
      </w:r>
      <w:r>
        <w:rPr>
          <w:rFonts w:hint="eastAsia"/>
          <w:sz w:val="24"/>
          <w:szCs w:val="21"/>
          <w:vertAlign w:val="superscript"/>
        </w:rPr>
        <w:t>[5</w:t>
      </w:r>
      <w:r>
        <w:rPr>
          <w:rFonts w:hint="default"/>
          <w:sz w:val="24"/>
          <w:szCs w:val="21"/>
          <w:vertAlign w:val="superscript"/>
          <w:lang w:val="en-US"/>
        </w:rPr>
        <w:t>]</w:t>
      </w:r>
      <w:r>
        <w:rPr>
          <w:rFonts w:hint="eastAsia"/>
          <w:sz w:val="24"/>
          <w:szCs w:val="21"/>
        </w:rPr>
        <w:t>和罗非鱼</w:t>
      </w:r>
      <w:r>
        <w:rPr>
          <w:rFonts w:hint="eastAsia"/>
          <w:sz w:val="24"/>
          <w:szCs w:val="21"/>
          <w:vertAlign w:val="superscript"/>
        </w:rPr>
        <w:t>[29</w:t>
      </w:r>
      <w:r>
        <w:rPr>
          <w:rFonts w:hint="default"/>
          <w:sz w:val="24"/>
          <w:szCs w:val="21"/>
          <w:vertAlign w:val="superscript"/>
          <w:lang w:val="en-US"/>
        </w:rPr>
        <w:t>]</w:t>
      </w:r>
      <w:r>
        <w:rPr>
          <w:rFonts w:hint="eastAsia"/>
          <w:sz w:val="24"/>
          <w:szCs w:val="21"/>
        </w:rPr>
        <w:t>中的研究结果相似，即饲料蛋白质水平过高可能对肝脏造成代谢压力。SOD是机体抵御氧化应激的关键酶，GSH则为重要的内源性抗氧化剂</w:t>
      </w:r>
      <w:r>
        <w:rPr>
          <w:rFonts w:hint="eastAsia"/>
          <w:sz w:val="24"/>
          <w:szCs w:val="21"/>
          <w:vertAlign w:val="superscript"/>
        </w:rPr>
        <w:t>[30</w:t>
      </w:r>
      <w:r>
        <w:rPr>
          <w:rFonts w:hint="default"/>
          <w:sz w:val="24"/>
          <w:szCs w:val="21"/>
          <w:vertAlign w:val="superscript"/>
          <w:lang w:val="en-US"/>
        </w:rPr>
        <w:t>]</w:t>
      </w:r>
      <w:r>
        <w:rPr>
          <w:rFonts w:hint="eastAsia"/>
          <w:sz w:val="24"/>
          <w:szCs w:val="21"/>
        </w:rPr>
        <w:t>。本研究中，肝脏SOD活性在P4组达到峰值，说明机体的抗氧化防御系统被有效激活，能够高效清除超氧阴离子自由基。而肝脏GSH含量在P3组最低，这可能是因为在适宜饲料蛋白质水平下，机体氧化应激程度较低，无需大量动员GSH以清除自由基；而在蛋白质不足(Pl和P2组)或过高(P5组)的条件下，机体为应对不同程度的氧化应激，GSH可能被大量消耗而诱发了代偿性合成增强，导致其含量相对升高。</w:t>
      </w:r>
    </w:p>
    <w:p w14:paraId="0D48AC07">
      <w:pPr>
        <w:spacing w:line="360" w:lineRule="auto"/>
        <w:ind w:firstLine="480" w:firstLineChars="200"/>
        <w:rPr>
          <w:rFonts w:hint="eastAsia"/>
          <w:sz w:val="24"/>
          <w:szCs w:val="21"/>
        </w:rPr>
      </w:pPr>
      <w:r>
        <w:rPr>
          <w:rFonts w:hint="eastAsia"/>
          <w:sz w:val="24"/>
          <w:szCs w:val="21"/>
        </w:rPr>
        <w:t>3.5</w:t>
      </w:r>
      <w:r>
        <w:rPr>
          <w:rFonts w:hint="default"/>
          <w:sz w:val="24"/>
          <w:szCs w:val="21"/>
          <w:lang w:val="en-US"/>
        </w:rPr>
        <w:t xml:space="preserve"> </w:t>
      </w:r>
      <w:r>
        <w:rPr>
          <w:rFonts w:hint="eastAsia"/>
          <w:sz w:val="24"/>
          <w:szCs w:val="21"/>
        </w:rPr>
        <w:t>饲料蛋白质水平对瓦氏黄颡鱼雌性亲本F1代仔鱼质量的影响</w:t>
      </w:r>
    </w:p>
    <w:p w14:paraId="384974CE">
      <w:pPr>
        <w:spacing w:line="360" w:lineRule="auto"/>
        <w:ind w:firstLine="480" w:firstLineChars="200"/>
        <w:rPr>
          <w:rFonts w:hint="eastAsia"/>
          <w:sz w:val="24"/>
          <w:szCs w:val="21"/>
        </w:rPr>
      </w:pPr>
      <w:r>
        <w:rPr>
          <w:rFonts w:hint="eastAsia"/>
          <w:sz w:val="24"/>
          <w:szCs w:val="21"/>
        </w:rPr>
        <w:t>在仔鱼质量方面，随着亲本饲料蛋白质水平的升高，仔鱼初始体重、终末体重及WGR均有所提高。孵化后第12天，P3、P4及P5组仔鱼全长均显著高于Pl组，说明亲本营养状况显著影响子代生长表现。仔鱼质量的改善可能与卵巢中较高的Vtg含量有关。Vtg不仅为胚胎生长发育提供支持，还可作为胚胎和仔鱼阶段的重要营养储备，是早期发育的关键卵黄蛋白来源5。此外，Lucas</w:t>
      </w:r>
      <w:r>
        <w:rPr>
          <w:rFonts w:hint="default"/>
          <w:sz w:val="24"/>
          <w:szCs w:val="21"/>
          <w:vertAlign w:val="superscript"/>
          <w:lang w:val="en-US"/>
        </w:rPr>
        <w:t>[</w:t>
      </w:r>
      <w:r>
        <w:rPr>
          <w:rFonts w:hint="eastAsia"/>
          <w:sz w:val="24"/>
          <w:szCs w:val="21"/>
          <w:vertAlign w:val="superscript"/>
        </w:rPr>
        <w:t>31]</w:t>
      </w:r>
      <w:r>
        <w:rPr>
          <w:rFonts w:hint="eastAsia"/>
          <w:sz w:val="24"/>
          <w:szCs w:val="21"/>
        </w:rPr>
        <w:t>提出的“营养程序化”概念指出，在发育关键期内的营养刺激可重塑机体生理通路，并产生持续性影响。该机制在鱼类研究中日益受到关注，无论是来自母体的内源性营养(如卵黄物质),还是早期外源摄食，均可能对鱼类的生长、发育和代谢产生类似程序化调控作用</w:t>
      </w:r>
      <w:r>
        <w:rPr>
          <w:rFonts w:hint="eastAsia"/>
          <w:sz w:val="24"/>
          <w:szCs w:val="21"/>
          <w:vertAlign w:val="superscript"/>
        </w:rPr>
        <w:t>[32]</w:t>
      </w:r>
      <w:r>
        <w:rPr>
          <w:rFonts w:hint="eastAsia"/>
          <w:sz w:val="24"/>
          <w:szCs w:val="21"/>
        </w:rPr>
        <w:t>。此类调控可能通过DNA甲基化、组蛋白修饰等表观遗传机制实现，在不改变DNA序列的前提下影响基因表达</w:t>
      </w:r>
      <w:r>
        <w:rPr>
          <w:rFonts w:hint="eastAsia"/>
          <w:sz w:val="24"/>
          <w:szCs w:val="21"/>
          <w:vertAlign w:val="superscript"/>
        </w:rPr>
        <w:t>[33]</w:t>
      </w:r>
      <w:r>
        <w:rPr>
          <w:rFonts w:hint="eastAsia"/>
          <w:sz w:val="24"/>
          <w:szCs w:val="21"/>
        </w:rPr>
        <w:t>。然而，目前相关机制在鱼类中的研究仍较有限，有待进一步深入探讨。</w:t>
      </w:r>
    </w:p>
    <w:p w14:paraId="6A8815E3">
      <w:pPr>
        <w:spacing w:line="360" w:lineRule="auto"/>
        <w:ind w:firstLine="480" w:firstLineChars="200"/>
        <w:rPr>
          <w:rFonts w:hint="eastAsia"/>
          <w:sz w:val="24"/>
          <w:szCs w:val="21"/>
        </w:rPr>
      </w:pPr>
    </w:p>
    <w:p w14:paraId="72D9BBAA">
      <w:pPr>
        <w:spacing w:line="360" w:lineRule="auto"/>
        <w:ind w:firstLine="480" w:firstLineChars="200"/>
        <w:rPr>
          <w:rFonts w:hint="eastAsia"/>
          <w:sz w:val="24"/>
          <w:szCs w:val="21"/>
        </w:rPr>
      </w:pPr>
      <w:r>
        <w:rPr>
          <w:rFonts w:hint="eastAsia"/>
          <w:sz w:val="24"/>
          <w:szCs w:val="21"/>
        </w:rPr>
        <w:t>4结论</w:t>
      </w:r>
    </w:p>
    <w:p w14:paraId="4F2AF8DD">
      <w:pPr>
        <w:spacing w:line="360" w:lineRule="auto"/>
        <w:ind w:firstLine="480" w:firstLineChars="200"/>
        <w:rPr>
          <w:rFonts w:hint="eastAsia"/>
          <w:sz w:val="24"/>
          <w:szCs w:val="21"/>
        </w:rPr>
      </w:pPr>
      <w:r>
        <w:rPr>
          <w:rFonts w:hint="eastAsia"/>
          <w:sz w:val="24"/>
          <w:szCs w:val="21"/>
        </w:rPr>
        <w:t>综上所述，饲料蛋白质水平为47.45%~54.14%时，可改善瓦氏黄颡鱼雌性亲本的生长性能(WGR和SGR)和繁殖性能(AF、RF及Vtg沉积);可显著降低亲本血清ALT活性(47.45%组)和TG含量，显著提高肝脏SOD活性(54.14%组),有助于维持机体代谢平衡与健康状态；同时，可显著提升仔鱼WGR、SGR和存活率等质量指标。然而，饲料蛋白质水平过高(60.63%)会诱发氧化应激，表现为肝脏MDA含量显著升高，对亲本健康产生不利影响。二次回归分析结果表明，当饲料蛋白质水平为50.79%时，雌性亲本RF达到最大值。因此，建议瓦氏黄颡鱼雌性亲本饲料的蛋白质水平为47.45%～50.79%。</w:t>
      </w:r>
    </w:p>
    <w:p w14:paraId="78AA329A">
      <w:pPr>
        <w:spacing w:line="360" w:lineRule="auto"/>
        <w:ind w:firstLine="480" w:firstLineChars="200"/>
        <w:rPr>
          <w:rFonts w:hint="eastAsia"/>
          <w:sz w:val="24"/>
          <w:szCs w:val="21"/>
        </w:rPr>
      </w:pPr>
    </w:p>
    <w:p w14:paraId="35F4355B">
      <w:pPr>
        <w:spacing w:line="360" w:lineRule="auto"/>
        <w:rPr>
          <w:rFonts w:hint="eastAsia"/>
          <w:sz w:val="24"/>
          <w:szCs w:val="21"/>
        </w:rPr>
      </w:pPr>
    </w:p>
    <w:p w14:paraId="493DBFB4">
      <w:pPr>
        <w:spacing w:line="360" w:lineRule="auto"/>
        <w:rPr>
          <w:sz w:val="24"/>
          <w:szCs w:val="21"/>
        </w:rPr>
      </w:pPr>
      <w:r>
        <w:rPr>
          <w:rFonts w:hint="eastAsia"/>
          <w:sz w:val="24"/>
          <w:szCs w:val="21"/>
        </w:rPr>
        <w:t>参考文献：略</w:t>
      </w:r>
    </w:p>
    <w:p w14:paraId="3D1CBDA3">
      <w:pPr>
        <w:spacing w:line="360" w:lineRule="auto"/>
        <w:jc w:val="right"/>
        <w:rPr>
          <w:szCs w:val="21"/>
        </w:rPr>
      </w:pPr>
      <w:r>
        <w:rPr>
          <w:rFonts w:hint="eastAsia"/>
          <w:szCs w:val="21"/>
        </w:rPr>
        <w:t>原文刊登在《动物营养学报》2026年第</w:t>
      </w:r>
      <w:r>
        <w:rPr>
          <w:rFonts w:hint="default"/>
          <w:szCs w:val="21"/>
          <w:lang w:val="en-US"/>
        </w:rPr>
        <w:t>5</w:t>
      </w:r>
      <w:r>
        <w:rPr>
          <w:rFonts w:hint="eastAsia"/>
          <w:szCs w:val="21"/>
        </w:rPr>
        <w:t>期</w:t>
      </w:r>
    </w:p>
    <w:p w14:paraId="4EBAD8F4">
      <w:pPr>
        <w:jc w:val="center"/>
        <w:outlineLvl w:val="1"/>
        <w:rPr>
          <w:rFonts w:ascii="黑体" w:hAnsi="黑体" w:eastAsia="黑体" w:cs="黑体"/>
          <w:b/>
          <w:bCs/>
          <w:sz w:val="32"/>
          <w:szCs w:val="32"/>
        </w:rPr>
      </w:pPr>
      <w:bookmarkStart w:id="16" w:name="_Toc229603700"/>
    </w:p>
    <w:p w14:paraId="7C98A11D">
      <w:pPr>
        <w:jc w:val="center"/>
        <w:outlineLvl w:val="1"/>
        <w:rPr>
          <w:rFonts w:ascii="黑体" w:hAnsi="黑体" w:eastAsia="黑体" w:cs="黑体"/>
          <w:b/>
          <w:bCs/>
          <w:sz w:val="32"/>
          <w:szCs w:val="32"/>
        </w:rPr>
      </w:pPr>
    </w:p>
    <w:bookmarkEnd w:id="16"/>
    <w:p w14:paraId="34765517">
      <w:pPr>
        <w:jc w:val="center"/>
        <w:outlineLvl w:val="1"/>
        <w:rPr>
          <w:rFonts w:hint="eastAsia" w:ascii="黑体" w:hAnsi="黑体" w:eastAsia="黑体" w:cs="黑体"/>
          <w:b/>
          <w:bCs/>
          <w:sz w:val="32"/>
          <w:szCs w:val="32"/>
        </w:rPr>
      </w:pPr>
      <w:r>
        <w:rPr>
          <w:rFonts w:hint="eastAsia" w:ascii="黑体" w:hAnsi="黑体" w:eastAsia="黑体" w:cs="黑体"/>
          <w:b/>
          <w:bCs/>
          <w:sz w:val="32"/>
          <w:szCs w:val="32"/>
        </w:rPr>
        <w:t>饲料蛋白质水平对大口黑鲈雌性亲鱼产后抗氧化能力和免疫功能的影响</w:t>
      </w:r>
    </w:p>
    <w:p w14:paraId="2DA891E6">
      <w:pPr>
        <w:jc w:val="center"/>
        <w:rPr>
          <w:rFonts w:hint="eastAsia"/>
          <w:szCs w:val="21"/>
        </w:rPr>
      </w:pPr>
      <w:r>
        <w:rPr>
          <w:rFonts w:hint="eastAsia"/>
          <w:szCs w:val="21"/>
        </w:rPr>
        <w:t>贾丽</w:t>
      </w:r>
      <w:r>
        <w:rPr>
          <w:rFonts w:hint="default"/>
          <w:szCs w:val="21"/>
          <w:lang w:val="en-US"/>
        </w:rPr>
        <w:t xml:space="preserve">  </w:t>
      </w:r>
      <w:r>
        <w:rPr>
          <w:rFonts w:hint="eastAsia"/>
          <w:szCs w:val="21"/>
        </w:rPr>
        <w:t>徐阳</w:t>
      </w:r>
      <w:r>
        <w:rPr>
          <w:rFonts w:hint="default"/>
          <w:szCs w:val="21"/>
          <w:lang w:val="en-US"/>
        </w:rPr>
        <w:t xml:space="preserve">  </w:t>
      </w:r>
      <w:r>
        <w:rPr>
          <w:rFonts w:hint="eastAsia"/>
          <w:szCs w:val="21"/>
        </w:rPr>
        <w:t>谭悦</w:t>
      </w:r>
      <w:r>
        <w:rPr>
          <w:rFonts w:hint="default"/>
          <w:szCs w:val="21"/>
          <w:lang w:val="en-US"/>
        </w:rPr>
        <w:t xml:space="preserve">  </w:t>
      </w:r>
      <w:r>
        <w:rPr>
          <w:rFonts w:hint="eastAsia"/>
          <w:szCs w:val="21"/>
        </w:rPr>
        <w:t>丁志丽</w:t>
      </w:r>
      <w:r>
        <w:rPr>
          <w:rFonts w:hint="default"/>
          <w:szCs w:val="21"/>
          <w:lang w:val="en-US"/>
        </w:rPr>
        <w:t xml:space="preserve">  </w:t>
      </w:r>
      <w:r>
        <w:rPr>
          <w:rFonts w:hint="eastAsia"/>
          <w:szCs w:val="21"/>
        </w:rPr>
        <w:t>孔有琴</w:t>
      </w:r>
      <w:r>
        <w:rPr>
          <w:rFonts w:hint="default"/>
          <w:szCs w:val="21"/>
          <w:lang w:val="en-US"/>
        </w:rPr>
        <w:t xml:space="preserve">  </w:t>
      </w:r>
      <w:r>
        <w:rPr>
          <w:rFonts w:hint="eastAsia"/>
          <w:szCs w:val="21"/>
        </w:rPr>
        <w:t>叶金云</w:t>
      </w:r>
      <w:r>
        <w:rPr>
          <w:rFonts w:hint="default"/>
          <w:szCs w:val="21"/>
          <w:lang w:val="en-US"/>
        </w:rPr>
        <w:t xml:space="preserve">  </w:t>
      </w:r>
      <w:r>
        <w:rPr>
          <w:rFonts w:hint="eastAsia"/>
          <w:szCs w:val="21"/>
        </w:rPr>
        <w:t>徐奇友</w:t>
      </w:r>
      <w:r>
        <w:rPr>
          <w:rFonts w:hint="eastAsia"/>
          <w:szCs w:val="21"/>
          <w:vertAlign w:val="superscript"/>
        </w:rPr>
        <w:t>∗</w:t>
      </w:r>
      <w:r>
        <w:rPr>
          <w:rFonts w:hint="eastAsia"/>
          <w:szCs w:val="21"/>
        </w:rPr>
        <w:t xml:space="preserve"> </w:t>
      </w:r>
      <w:r>
        <w:rPr>
          <w:rFonts w:hint="default"/>
          <w:szCs w:val="21"/>
          <w:lang w:val="en-US"/>
        </w:rPr>
        <w:t xml:space="preserve">  </w:t>
      </w:r>
      <w:r>
        <w:rPr>
          <w:rFonts w:hint="eastAsia"/>
          <w:szCs w:val="21"/>
        </w:rPr>
        <w:t>戚常乐</w:t>
      </w:r>
      <w:r>
        <w:rPr>
          <w:rFonts w:hint="eastAsia"/>
          <w:szCs w:val="21"/>
          <w:vertAlign w:val="superscript"/>
        </w:rPr>
        <w:t>∗</w:t>
      </w:r>
    </w:p>
    <w:p w14:paraId="371DA8B0">
      <w:pPr>
        <w:jc w:val="center"/>
        <w:rPr>
          <w:szCs w:val="21"/>
        </w:rPr>
      </w:pPr>
      <w:r>
        <w:rPr>
          <w:szCs w:val="21"/>
        </w:rPr>
        <w:t>(</w:t>
      </w:r>
      <w:r>
        <w:rPr>
          <w:rFonts w:hint="eastAsia"/>
          <w:szCs w:val="21"/>
        </w:rPr>
        <w:t xml:space="preserve"> 湖州师范学院生命科学学院 ，水生动物繁殖与营养国家地方联合工程实验室 ，浙江省水生生物 资源养护与开发技术研究重点实验室 ，湖州 313000</w:t>
      </w:r>
      <w:r>
        <w:rPr>
          <w:szCs w:val="21"/>
        </w:rPr>
        <w:t>)</w:t>
      </w:r>
    </w:p>
    <w:p w14:paraId="787F354E">
      <w:pPr>
        <w:rPr>
          <w:rFonts w:hint="eastAsia"/>
          <w:szCs w:val="21"/>
        </w:rPr>
      </w:pPr>
      <w:r>
        <w:rPr>
          <w:rFonts w:hint="eastAsia"/>
          <w:b/>
          <w:bCs/>
          <w:szCs w:val="21"/>
        </w:rPr>
        <w:t>摘要</w:t>
      </w:r>
      <w:r>
        <w:rPr>
          <w:b/>
          <w:bCs/>
          <w:szCs w:val="21"/>
        </w:rPr>
        <w:t>：</w:t>
      </w:r>
      <w:r>
        <w:rPr>
          <w:rFonts w:hint="eastAsia"/>
          <w:szCs w:val="21"/>
        </w:rPr>
        <w:t>本试验旨在探究饲料蛋白质水平对大口黑鲈(</w:t>
      </w:r>
      <w:r>
        <w:rPr>
          <w:rFonts w:hint="default" w:ascii="Times New Roman Italic" w:hAnsi="Times New Roman Italic" w:cs="Times New Roman Italic"/>
          <w:i/>
          <w:iCs/>
          <w:szCs w:val="21"/>
        </w:rPr>
        <w:t>Micropterus salmoides</w:t>
      </w:r>
      <w:r>
        <w:rPr>
          <w:rFonts w:hint="eastAsia"/>
          <w:szCs w:val="21"/>
        </w:rPr>
        <w:t>)雌性亲鱼产后抗氧化能力和免疫功能的影响。配制5种等脂等能的试验饲料，其蛋白质水平分别为35%、40%、45%、50%和55%（对应分组命名为35%、40%、45%、50%和55%组。选取产卵后大口黑鲈雌性亲鱼，随机分为5组，每组设6个重复，每个重复放养7尾鱼，分别投喂上述试验饲料，养殖试验为期8周。结果表明：1)随着饲料蛋白质水平的升高，肝脏比(HSI)和肠系膜脂肪系数(MFI)呈下降趋势。2)45%、50%和55%组肝脏和卵巢中超氧化物歧化酶(SOD)活性显著高于35%和40%组(</w:t>
      </w:r>
      <w:r>
        <w:rPr>
          <w:rFonts w:hint="eastAsia"/>
          <w:i/>
          <w:iCs/>
          <w:szCs w:val="21"/>
        </w:rPr>
        <w:t>P</w:t>
      </w:r>
      <w:r>
        <w:rPr>
          <w:rFonts w:hint="eastAsia"/>
          <w:szCs w:val="21"/>
        </w:rPr>
        <w:t>&lt;0.05)。3)在肝脏中，45%组免疫球蛋白M(IgM)含量最高，显著高于其他各组(</w:t>
      </w:r>
      <w:r>
        <w:rPr>
          <w:rFonts w:hint="eastAsia"/>
          <w:i/>
          <w:iCs/>
          <w:szCs w:val="21"/>
        </w:rPr>
        <w:t>P</w:t>
      </w:r>
      <w:r>
        <w:rPr>
          <w:rFonts w:hint="eastAsia"/>
          <w:szCs w:val="21"/>
        </w:rPr>
        <w:t>&lt;0.05);在卵巢中，45%组溶菌酶(LZM)活性和IgM含量显著高于其他各组(</w:t>
      </w:r>
      <w:r>
        <w:rPr>
          <w:rFonts w:hint="eastAsia"/>
          <w:i/>
          <w:iCs/>
          <w:szCs w:val="21"/>
        </w:rPr>
        <w:t>P</w:t>
      </w:r>
      <w:r>
        <w:rPr>
          <w:rFonts w:hint="eastAsia"/>
          <w:szCs w:val="21"/>
        </w:rPr>
        <w:t>&lt;0.05)。4)在肝脏中，随着饲料蛋白质水平的升高，谷胱甘肽硫转移酶(GST)和锰－超氧化物歧化酶(Mn</w:t>
      </w:r>
      <w:r>
        <w:rPr>
          <w:rFonts w:hint="default"/>
          <w:szCs w:val="21"/>
          <w:lang w:val="en-US"/>
        </w:rPr>
        <w:t xml:space="preserve"> </w:t>
      </w:r>
      <w:r>
        <w:rPr>
          <w:rFonts w:hint="eastAsia"/>
          <w:szCs w:val="21"/>
        </w:rPr>
        <w:t>SOD)的mRNA相对表达量均呈上升趋势，其中45%组Mn</w:t>
      </w:r>
      <w:r>
        <w:rPr>
          <w:rFonts w:hint="default"/>
          <w:szCs w:val="21"/>
          <w:lang w:val="en-US"/>
        </w:rPr>
        <w:t xml:space="preserve"> </w:t>
      </w:r>
      <w:r>
        <w:rPr>
          <w:rFonts w:hint="eastAsia"/>
          <w:szCs w:val="21"/>
        </w:rPr>
        <w:t>SOD的mRNA相对表达量显著高于35%组(</w:t>
      </w:r>
      <w:r>
        <w:rPr>
          <w:rFonts w:hint="eastAsia"/>
          <w:i/>
          <w:iCs/>
          <w:szCs w:val="21"/>
        </w:rPr>
        <w:t>P</w:t>
      </w:r>
      <w:r>
        <w:rPr>
          <w:rFonts w:hint="eastAsia"/>
          <w:szCs w:val="21"/>
        </w:rPr>
        <w:t>&lt;0.05);在卵巢中，45%组超氧化物歧化酶1(SOD1)、铜／锌</w:t>
      </w:r>
      <w:r>
        <w:rPr>
          <w:rFonts w:hint="default"/>
          <w:szCs w:val="21"/>
          <w:lang w:val="en-US"/>
        </w:rPr>
        <w:t>-</w:t>
      </w:r>
      <w:r>
        <w:rPr>
          <w:rFonts w:hint="eastAsia"/>
          <w:szCs w:val="21"/>
        </w:rPr>
        <w:t>超氧化物歧化酶(Cu/Zn</w:t>
      </w:r>
      <w:r>
        <w:rPr>
          <w:rFonts w:hint="default"/>
          <w:szCs w:val="21"/>
          <w:lang w:val="en-US"/>
        </w:rPr>
        <w:t>-</w:t>
      </w:r>
      <w:r>
        <w:rPr>
          <w:rFonts w:hint="eastAsia"/>
          <w:szCs w:val="21"/>
        </w:rPr>
        <w:t>SOD)和Mn</w:t>
      </w:r>
      <w:r>
        <w:rPr>
          <w:rFonts w:hint="default"/>
          <w:szCs w:val="21"/>
          <w:lang w:val="en-US"/>
        </w:rPr>
        <w:t>-</w:t>
      </w:r>
      <w:r>
        <w:rPr>
          <w:rFonts w:hint="eastAsia"/>
          <w:szCs w:val="21"/>
        </w:rPr>
        <w:t>SOD的mRNA相对表达量均显著高于35%和40%组(</w:t>
      </w:r>
      <w:r>
        <w:rPr>
          <w:rFonts w:hint="eastAsia"/>
          <w:i/>
          <w:iCs/>
          <w:szCs w:val="21"/>
        </w:rPr>
        <w:t>P</w:t>
      </w:r>
      <w:r>
        <w:rPr>
          <w:rFonts w:hint="eastAsia"/>
          <w:szCs w:val="21"/>
        </w:rPr>
        <w:t>&lt;0.05)。5)在肝脏中，45%组Toll样受体3(TLR3)的mRNA相对表达量显著高于35%和55%组(</w:t>
      </w:r>
      <w:r>
        <w:rPr>
          <w:rFonts w:hint="eastAsia"/>
          <w:i/>
          <w:iCs/>
          <w:szCs w:val="21"/>
        </w:rPr>
        <w:t>P</w:t>
      </w:r>
      <w:r>
        <w:rPr>
          <w:rFonts w:hint="eastAsia"/>
          <w:szCs w:val="21"/>
        </w:rPr>
        <w:t>&lt;0.05),IgM的mRNA相对表达量显著高于35%、40%和50%组(</w:t>
      </w:r>
      <w:r>
        <w:rPr>
          <w:rFonts w:hint="eastAsia"/>
          <w:i/>
          <w:iCs/>
          <w:szCs w:val="21"/>
        </w:rPr>
        <w:t>P</w:t>
      </w:r>
      <w:r>
        <w:rPr>
          <w:rFonts w:hint="eastAsia"/>
          <w:szCs w:val="21"/>
        </w:rPr>
        <w:t>&lt;0.05);在卵巢中，45%组LZM的mRNA相对表达量显著高于40%、50%和55%组(</w:t>
      </w:r>
      <w:r>
        <w:rPr>
          <w:rFonts w:hint="eastAsia"/>
          <w:i/>
          <w:iCs/>
          <w:szCs w:val="21"/>
        </w:rPr>
        <w:t>P</w:t>
      </w:r>
      <w:r>
        <w:rPr>
          <w:rFonts w:hint="eastAsia"/>
          <w:szCs w:val="21"/>
        </w:rPr>
        <w:t>&lt;0.05),热休克蛋白70(HSP70)和Toll样受体1(TLR1)的mRNA相对表达量显著高于35%、40%和55%组(</w:t>
      </w:r>
      <w:r>
        <w:rPr>
          <w:rFonts w:hint="eastAsia"/>
          <w:i/>
          <w:iCs/>
          <w:szCs w:val="21"/>
        </w:rPr>
        <w:t>P</w:t>
      </w:r>
      <w:r>
        <w:rPr>
          <w:rFonts w:hint="eastAsia"/>
          <w:szCs w:val="21"/>
        </w:rPr>
        <w:t>&lt;0.05),IgM的mRNA相对表达量显著高于40%和50%组(</w:t>
      </w:r>
      <w:r>
        <w:rPr>
          <w:rFonts w:hint="eastAsia"/>
          <w:i/>
          <w:iCs/>
          <w:szCs w:val="21"/>
        </w:rPr>
        <w:t>P</w:t>
      </w:r>
      <w:r>
        <w:rPr>
          <w:rFonts w:hint="eastAsia"/>
          <w:szCs w:val="21"/>
        </w:rPr>
        <w:t>&lt;0.05)。由此可见，适宜的饲料蛋白质水平(45%)能够提高雌性大口黑鲈亲鱼产卵后肝脏和卵巢的抗氧化能力和免疫功能，有利于亲鱼产后恢复，提高其再利用率。</w:t>
      </w:r>
    </w:p>
    <w:p w14:paraId="2AC5013C">
      <w:pPr>
        <w:rPr>
          <w:rFonts w:hint="eastAsia"/>
          <w:szCs w:val="21"/>
        </w:rPr>
      </w:pPr>
      <w:r>
        <w:rPr>
          <w:rFonts w:hint="eastAsia"/>
          <w:b/>
          <w:bCs/>
          <w:szCs w:val="21"/>
        </w:rPr>
        <w:t>关键词</w:t>
      </w:r>
      <w:r>
        <w:rPr>
          <w:b/>
          <w:bCs/>
          <w:szCs w:val="21"/>
        </w:rPr>
        <w:t>：</w:t>
      </w:r>
      <w:r>
        <w:rPr>
          <w:rFonts w:hint="eastAsia"/>
          <w:szCs w:val="21"/>
        </w:rPr>
        <w:t>蛋白质水平；大口黑鲈雌性亲鱼；产后；抗氧化能力；免疫功能</w:t>
      </w:r>
    </w:p>
    <w:p w14:paraId="4FADF787">
      <w:pPr>
        <w:jc w:val="center"/>
        <w:rPr>
          <w:rFonts w:hint="eastAsia"/>
          <w:b/>
          <w:bCs/>
          <w:sz w:val="24"/>
        </w:rPr>
      </w:pPr>
      <w:r>
        <w:rPr>
          <w:rFonts w:hint="eastAsia"/>
          <w:b/>
          <w:bCs/>
          <w:sz w:val="24"/>
        </w:rPr>
        <w:t>Effects of Dietary Protein Level on Antioxidant Capacity and Immune</w:t>
      </w:r>
    </w:p>
    <w:p w14:paraId="458845E4">
      <w:pPr>
        <w:jc w:val="center"/>
        <w:rPr>
          <w:rFonts w:hint="eastAsia"/>
          <w:b/>
          <w:bCs/>
          <w:sz w:val="24"/>
        </w:rPr>
      </w:pPr>
      <w:r>
        <w:rPr>
          <w:rFonts w:hint="eastAsia"/>
          <w:b/>
          <w:bCs/>
          <w:sz w:val="24"/>
        </w:rPr>
        <w:t xml:space="preserve">Function of Female Largemouth Bass ( </w:t>
      </w:r>
      <w:r>
        <w:rPr>
          <w:rFonts w:hint="default" w:ascii="Times New Roman Bold Italic" w:hAnsi="Times New Roman Bold Italic" w:cs="Times New Roman Bold Italic"/>
          <w:b/>
          <w:bCs/>
          <w:i/>
          <w:iCs/>
          <w:sz w:val="24"/>
        </w:rPr>
        <w:t>Micropterus salmoides</w:t>
      </w:r>
      <w:r>
        <w:rPr>
          <w:rFonts w:hint="eastAsia"/>
          <w:b/>
          <w:bCs/>
          <w:sz w:val="24"/>
        </w:rPr>
        <w:t>)</w:t>
      </w:r>
    </w:p>
    <w:p w14:paraId="29C8ADDE">
      <w:pPr>
        <w:jc w:val="center"/>
        <w:rPr>
          <w:b/>
          <w:bCs/>
          <w:sz w:val="24"/>
        </w:rPr>
      </w:pPr>
      <w:r>
        <w:rPr>
          <w:rFonts w:hint="eastAsia"/>
          <w:b/>
          <w:bCs/>
          <w:sz w:val="24"/>
        </w:rPr>
        <w:t>Broodstock after Spawning</w:t>
      </w:r>
    </w:p>
    <w:p w14:paraId="30E11987">
      <w:pPr>
        <w:jc w:val="center"/>
        <w:rPr>
          <w:rFonts w:hint="eastAsia"/>
          <w:szCs w:val="21"/>
          <w:vertAlign w:val="superscript"/>
        </w:rPr>
      </w:pPr>
      <w:r>
        <w:rPr>
          <w:rFonts w:hint="eastAsia"/>
          <w:szCs w:val="21"/>
        </w:rPr>
        <w:t xml:space="preserve">JIA Li  XU Yang  TAN Yue  DING Zhili  KONG Youqin  YE Jinyun  XU Qiyou </w:t>
      </w:r>
      <w:r>
        <w:rPr>
          <w:rFonts w:hint="eastAsia"/>
          <w:szCs w:val="21"/>
          <w:vertAlign w:val="superscript"/>
        </w:rPr>
        <w:t xml:space="preserve">∗  </w:t>
      </w:r>
      <w:r>
        <w:rPr>
          <w:rFonts w:hint="eastAsia"/>
          <w:szCs w:val="21"/>
        </w:rPr>
        <w:t xml:space="preserve">  QI Changle </w:t>
      </w:r>
      <w:r>
        <w:rPr>
          <w:rFonts w:hint="eastAsia"/>
          <w:szCs w:val="21"/>
          <w:vertAlign w:val="superscript"/>
        </w:rPr>
        <w:t>∗</w:t>
      </w:r>
    </w:p>
    <w:p w14:paraId="68BBDFDC">
      <w:pPr>
        <w:jc w:val="center"/>
        <w:rPr>
          <w:szCs w:val="21"/>
        </w:rPr>
      </w:pPr>
      <w:r>
        <w:rPr>
          <w:rFonts w:hint="eastAsia"/>
          <w:szCs w:val="21"/>
        </w:rPr>
        <w:t>(Zhejiang Provincial Key Laboratory ofAquatic Resources Conservation and Development, National⁃Local Joint</w:t>
      </w:r>
      <w:r>
        <w:rPr>
          <w:rFonts w:hint="default"/>
          <w:szCs w:val="21"/>
          <w:lang w:val="en-US"/>
        </w:rPr>
        <w:t xml:space="preserve"> </w:t>
      </w:r>
      <w:r>
        <w:rPr>
          <w:rFonts w:hint="eastAsia"/>
          <w:szCs w:val="21"/>
        </w:rPr>
        <w:t>Engineering Laboratory ofAquatic Animal Breeding and Nutrition , School of Life Sciences ,Huzhou University , Huzhou 313000 , China)</w:t>
      </w:r>
    </w:p>
    <w:p w14:paraId="77B18941">
      <w:pPr>
        <w:rPr>
          <w:rFonts w:hint="eastAsia"/>
          <w:szCs w:val="21"/>
        </w:rPr>
      </w:pPr>
      <w:r>
        <w:rPr>
          <w:rFonts w:hint="eastAsia"/>
          <w:b/>
          <w:bCs/>
          <w:szCs w:val="21"/>
        </w:rPr>
        <w:t>Abstract:</w:t>
      </w:r>
      <w:r>
        <w:rPr>
          <w:rFonts w:hint="eastAsia"/>
          <w:szCs w:val="21"/>
        </w:rPr>
        <w:t xml:space="preserve"> This experiment aimed to investigate the effects of dietary protein level on the antioxidant capacity and immune function of female largemouth bass</w:t>
      </w:r>
      <w:r>
        <w:rPr>
          <w:rFonts w:hint="default"/>
          <w:szCs w:val="21"/>
          <w:lang w:val="en-US"/>
        </w:rPr>
        <w:t xml:space="preserve"> </w:t>
      </w:r>
      <w:r>
        <w:rPr>
          <w:rFonts w:hint="eastAsia"/>
          <w:szCs w:val="21"/>
        </w:rPr>
        <w:t>(</w:t>
      </w:r>
      <w:r>
        <w:rPr>
          <w:rFonts w:hint="default" w:ascii="Times New Roman Italic" w:hAnsi="Times New Roman Italic" w:cs="Times New Roman Italic"/>
          <w:i/>
          <w:iCs/>
          <w:szCs w:val="21"/>
        </w:rPr>
        <w:t>Micropterus salmoides</w:t>
      </w:r>
      <w:r>
        <w:rPr>
          <w:rFonts w:hint="eastAsia"/>
          <w:szCs w:val="21"/>
        </w:rPr>
        <w:t>)</w:t>
      </w:r>
      <w:r>
        <w:rPr>
          <w:rFonts w:hint="default"/>
          <w:szCs w:val="21"/>
          <w:lang w:val="en-US"/>
        </w:rPr>
        <w:t xml:space="preserve"> </w:t>
      </w:r>
      <w:r>
        <w:rPr>
          <w:rFonts w:hint="eastAsia"/>
          <w:szCs w:val="21"/>
        </w:rPr>
        <w:t>broodstock after spawning.Five isonitrogenous and isolipidic experimental diets were formulated with protein levels of 35%,40%,45%,50%and 55%</w:t>
      </w:r>
      <w:r>
        <w:rPr>
          <w:rFonts w:hint="default"/>
          <w:szCs w:val="21"/>
          <w:lang w:val="en-US"/>
        </w:rPr>
        <w:t xml:space="preserve"> </w:t>
      </w:r>
      <w:r>
        <w:rPr>
          <w:rFonts w:hint="eastAsia"/>
          <w:szCs w:val="21"/>
        </w:rPr>
        <w:t>(designated as the 35%,40%,45%,50%and 55%groups)</w:t>
      </w:r>
      <w:r>
        <w:rPr>
          <w:rFonts w:hint="default"/>
          <w:szCs w:val="21"/>
          <w:lang w:val="en-US"/>
        </w:rPr>
        <w:t xml:space="preserve"> </w:t>
      </w:r>
      <w:r>
        <w:rPr>
          <w:rFonts w:hint="eastAsia"/>
          <w:szCs w:val="21"/>
        </w:rPr>
        <w:t>,respectively.Post</w:t>
      </w:r>
      <w:r>
        <w:rPr>
          <w:rFonts w:hint="default"/>
          <w:szCs w:val="21"/>
          <w:lang w:val="en-US"/>
        </w:rPr>
        <w:t xml:space="preserve"> </w:t>
      </w:r>
      <w:r>
        <w:rPr>
          <w:rFonts w:hint="eastAsia"/>
          <w:szCs w:val="21"/>
        </w:rPr>
        <w:t>spawning female largemouth bass broodstock were randomly assigned to five groups,each with six replicates and seven fish per replicate.The fish were fed the respective experimental diets for an 8week feeding trial.The results showed as follows:</w:t>
      </w:r>
      <w:r>
        <w:rPr>
          <w:rFonts w:hint="default"/>
          <w:szCs w:val="21"/>
          <w:lang w:val="en-US"/>
        </w:rPr>
        <w:t xml:space="preserve"> </w:t>
      </w:r>
      <w:r>
        <w:rPr>
          <w:rFonts w:hint="eastAsia"/>
          <w:szCs w:val="21"/>
        </w:rPr>
        <w:t>1)hepatosomatic index</w:t>
      </w:r>
      <w:r>
        <w:rPr>
          <w:rFonts w:hint="eastAsia"/>
          <w:szCs w:val="21"/>
          <w:lang w:val="en-US" w:eastAsia="zh-CN"/>
        </w:rPr>
        <w:t xml:space="preserve"> </w:t>
      </w:r>
      <w:r>
        <w:rPr>
          <w:rFonts w:hint="eastAsia"/>
          <w:szCs w:val="21"/>
        </w:rPr>
        <w:t>(HSI)</w:t>
      </w:r>
      <w:r>
        <w:rPr>
          <w:rFonts w:hint="eastAsia"/>
          <w:szCs w:val="21"/>
          <w:lang w:val="en-US" w:eastAsia="zh-CN"/>
        </w:rPr>
        <w:t xml:space="preserve"> </w:t>
      </w:r>
      <w:r>
        <w:rPr>
          <w:rFonts w:hint="eastAsia"/>
          <w:szCs w:val="21"/>
        </w:rPr>
        <w:t>and mesenteric fat index</w:t>
      </w:r>
      <w:r>
        <w:rPr>
          <w:rFonts w:hint="eastAsia"/>
          <w:szCs w:val="21"/>
          <w:lang w:val="en-US" w:eastAsia="zh-CN"/>
        </w:rPr>
        <w:t xml:space="preserve"> </w:t>
      </w:r>
      <w:r>
        <w:rPr>
          <w:rFonts w:hint="eastAsia"/>
          <w:szCs w:val="21"/>
        </w:rPr>
        <w:t>(MFI)</w:t>
      </w:r>
      <w:r>
        <w:rPr>
          <w:rFonts w:hint="eastAsia"/>
          <w:szCs w:val="21"/>
          <w:lang w:val="en-US" w:eastAsia="zh-CN"/>
        </w:rPr>
        <w:t xml:space="preserve"> </w:t>
      </w:r>
      <w:r>
        <w:rPr>
          <w:rFonts w:hint="eastAsia"/>
          <w:szCs w:val="21"/>
        </w:rPr>
        <w:t>tended to decrease with dietary protein level increasing.</w:t>
      </w:r>
      <w:r>
        <w:rPr>
          <w:rFonts w:hint="default"/>
          <w:szCs w:val="21"/>
          <w:lang w:val="en-US"/>
        </w:rPr>
        <w:t xml:space="preserve"> </w:t>
      </w:r>
      <w:r>
        <w:rPr>
          <w:rFonts w:hint="eastAsia"/>
          <w:szCs w:val="21"/>
        </w:rPr>
        <w:t>2)Superoxide dismutase</w:t>
      </w:r>
      <w:r>
        <w:rPr>
          <w:rFonts w:hint="default"/>
          <w:szCs w:val="21"/>
          <w:lang w:val="en-US"/>
        </w:rPr>
        <w:t xml:space="preserve"> </w:t>
      </w:r>
      <w:r>
        <w:rPr>
          <w:rFonts w:hint="eastAsia"/>
          <w:szCs w:val="21"/>
        </w:rPr>
        <w:t>(SOD)</w:t>
      </w:r>
      <w:r>
        <w:rPr>
          <w:rFonts w:hint="default"/>
          <w:szCs w:val="21"/>
          <w:lang w:val="en-US"/>
        </w:rPr>
        <w:t xml:space="preserve"> </w:t>
      </w:r>
      <w:r>
        <w:rPr>
          <w:rFonts w:hint="eastAsia"/>
          <w:szCs w:val="21"/>
        </w:rPr>
        <w:t>activity in the liver and ovary was significantly higher in the 45%,50%and 55%groups than in the 35%and 40%groups</w:t>
      </w:r>
      <w:r>
        <w:rPr>
          <w:rFonts w:hint="eastAsia"/>
          <w:szCs w:val="21"/>
          <w:lang w:val="en-US" w:eastAsia="zh-CN"/>
        </w:rPr>
        <w:t xml:space="preserve"> </w:t>
      </w:r>
      <w:r>
        <w:rPr>
          <w:rFonts w:hint="eastAsia"/>
          <w:szCs w:val="21"/>
        </w:rPr>
        <w:t>(</w:t>
      </w:r>
      <w:r>
        <w:rPr>
          <w:rFonts w:hint="default" w:ascii="Times New Roman Italic" w:hAnsi="Times New Roman Italic" w:cs="Times New Roman Italic"/>
          <w:i/>
          <w:iCs/>
          <w:szCs w:val="21"/>
        </w:rPr>
        <w:t>P</w:t>
      </w:r>
      <w:r>
        <w:rPr>
          <w:rFonts w:hint="eastAsia"/>
          <w:szCs w:val="21"/>
        </w:rPr>
        <w:t>&lt;0.05)</w:t>
      </w:r>
      <w:r>
        <w:rPr>
          <w:rFonts w:hint="eastAsia"/>
          <w:szCs w:val="21"/>
          <w:lang w:val="en-US" w:eastAsia="zh-CN"/>
        </w:rPr>
        <w:t xml:space="preserve"> </w:t>
      </w:r>
      <w:r>
        <w:rPr>
          <w:rFonts w:hint="eastAsia"/>
          <w:szCs w:val="21"/>
        </w:rPr>
        <w:t>.</w:t>
      </w:r>
      <w:r>
        <w:rPr>
          <w:rFonts w:hint="eastAsia"/>
          <w:szCs w:val="21"/>
          <w:lang w:val="en-US" w:eastAsia="zh-CN"/>
        </w:rPr>
        <w:t xml:space="preserve"> </w:t>
      </w:r>
      <w:r>
        <w:rPr>
          <w:rFonts w:hint="eastAsia"/>
          <w:szCs w:val="21"/>
        </w:rPr>
        <w:t>3)In the liver,immunoglobulin M(IgM)content was highest in the 45%group and was significantly higher than that in the other groups</w:t>
      </w:r>
      <w:r>
        <w:rPr>
          <w:rFonts w:hint="eastAsia"/>
          <w:szCs w:val="21"/>
          <w:lang w:val="en-US" w:eastAsia="zh-CN"/>
        </w:rPr>
        <w:t xml:space="preserve"> </w:t>
      </w:r>
      <w:r>
        <w:rPr>
          <w:rFonts w:hint="eastAsia"/>
          <w:szCs w:val="21"/>
        </w:rPr>
        <w:t>(</w:t>
      </w:r>
      <w:r>
        <w:rPr>
          <w:rFonts w:hint="default" w:ascii="Times New Roman Italic" w:hAnsi="Times New Roman Italic" w:cs="Times New Roman Italic"/>
          <w:i/>
          <w:iCs/>
          <w:szCs w:val="21"/>
        </w:rPr>
        <w:t>P</w:t>
      </w:r>
      <w:r>
        <w:rPr>
          <w:rFonts w:hint="eastAsia"/>
          <w:szCs w:val="21"/>
        </w:rPr>
        <w:t>&lt;0.05);in the ovary,lysozyme</w:t>
      </w:r>
      <w:r>
        <w:rPr>
          <w:rFonts w:hint="eastAsia"/>
          <w:szCs w:val="21"/>
          <w:lang w:val="en-US" w:eastAsia="zh-CN"/>
        </w:rPr>
        <w:t xml:space="preserve"> </w:t>
      </w:r>
      <w:r>
        <w:rPr>
          <w:rFonts w:hint="eastAsia"/>
          <w:szCs w:val="21"/>
        </w:rPr>
        <w:t>(LZM)</w:t>
      </w:r>
      <w:r>
        <w:rPr>
          <w:rFonts w:hint="eastAsia"/>
          <w:szCs w:val="21"/>
          <w:lang w:val="en-US" w:eastAsia="zh-CN"/>
        </w:rPr>
        <w:t xml:space="preserve"> </w:t>
      </w:r>
      <w:r>
        <w:rPr>
          <w:rFonts w:hint="eastAsia"/>
          <w:szCs w:val="21"/>
        </w:rPr>
        <w:t>activity and IgM content in the 45%group were significantly higher than those in the other groups</w:t>
      </w:r>
      <w:r>
        <w:rPr>
          <w:rFonts w:hint="eastAsia"/>
          <w:szCs w:val="21"/>
          <w:lang w:val="en-US" w:eastAsia="zh-CN"/>
        </w:rPr>
        <w:t xml:space="preserve"> </w:t>
      </w:r>
      <w:r>
        <w:rPr>
          <w:rFonts w:hint="eastAsia"/>
          <w:szCs w:val="21"/>
        </w:rPr>
        <w:t>(</w:t>
      </w:r>
      <w:r>
        <w:rPr>
          <w:rFonts w:hint="default" w:ascii="Times New Roman Italic" w:hAnsi="Times New Roman Italic" w:cs="Times New Roman Italic"/>
          <w:i/>
          <w:iCs/>
          <w:szCs w:val="21"/>
        </w:rPr>
        <w:t>P</w:t>
      </w:r>
      <w:r>
        <w:rPr>
          <w:rFonts w:hint="eastAsia"/>
          <w:szCs w:val="21"/>
        </w:rPr>
        <w:t>&lt;0.05).</w:t>
      </w:r>
      <w:r>
        <w:rPr>
          <w:rFonts w:hint="eastAsia"/>
          <w:szCs w:val="21"/>
          <w:lang w:val="en-US" w:eastAsia="zh-CN"/>
        </w:rPr>
        <w:t xml:space="preserve"> </w:t>
      </w:r>
      <w:r>
        <w:rPr>
          <w:rFonts w:hint="eastAsia"/>
          <w:szCs w:val="21"/>
        </w:rPr>
        <w:t>4)In the liver,the mRNA relative expression levels of glutathione Stransferase</w:t>
      </w:r>
      <w:r>
        <w:rPr>
          <w:rFonts w:hint="eastAsia"/>
          <w:szCs w:val="21"/>
          <w:lang w:val="en-US" w:eastAsia="zh-CN"/>
        </w:rPr>
        <w:t xml:space="preserve"> </w:t>
      </w:r>
      <w:r>
        <w:rPr>
          <w:rFonts w:hint="eastAsia"/>
          <w:szCs w:val="21"/>
        </w:rPr>
        <w:t>(GST)</w:t>
      </w:r>
      <w:r>
        <w:rPr>
          <w:rFonts w:hint="eastAsia"/>
          <w:szCs w:val="21"/>
          <w:lang w:val="en-US" w:eastAsia="zh-CN"/>
        </w:rPr>
        <w:t xml:space="preserve"> </w:t>
      </w:r>
      <w:r>
        <w:rPr>
          <w:rFonts w:hint="eastAsia"/>
          <w:szCs w:val="21"/>
        </w:rPr>
        <w:t>and manganese superoxide dismutase</w:t>
      </w:r>
      <w:r>
        <w:rPr>
          <w:rFonts w:hint="eastAsia"/>
          <w:szCs w:val="21"/>
          <w:lang w:val="en-US" w:eastAsia="zh-CN"/>
        </w:rPr>
        <w:t xml:space="preserve"> </w:t>
      </w:r>
      <w:r>
        <w:rPr>
          <w:rFonts w:hint="eastAsia"/>
          <w:szCs w:val="21"/>
        </w:rPr>
        <w:t>(MnSOD)</w:t>
      </w:r>
      <w:r>
        <w:rPr>
          <w:rFonts w:hint="eastAsia"/>
          <w:szCs w:val="21"/>
          <w:lang w:val="en-US" w:eastAsia="zh-CN"/>
        </w:rPr>
        <w:t xml:space="preserve"> </w:t>
      </w:r>
      <w:r>
        <w:rPr>
          <w:rFonts w:hint="eastAsia"/>
          <w:szCs w:val="21"/>
        </w:rPr>
        <w:t>tended to increase with dietary protein level increasing,with the MnSOD mRNA relative expression level in the 45%group was significantly higher than that in the 35%group</w:t>
      </w:r>
      <w:r>
        <w:rPr>
          <w:rFonts w:hint="eastAsia"/>
          <w:szCs w:val="21"/>
          <w:lang w:val="en-US" w:eastAsia="zh-CN"/>
        </w:rPr>
        <w:t xml:space="preserve"> </w:t>
      </w:r>
      <w:r>
        <w:rPr>
          <w:rFonts w:hint="eastAsia"/>
          <w:szCs w:val="21"/>
        </w:rPr>
        <w:t>(</w:t>
      </w:r>
      <w:r>
        <w:rPr>
          <w:rFonts w:hint="default" w:ascii="Times New Roman Italic" w:hAnsi="Times New Roman Italic" w:cs="Times New Roman Italic"/>
          <w:i/>
          <w:iCs/>
          <w:szCs w:val="21"/>
        </w:rPr>
        <w:t>P</w:t>
      </w:r>
      <w:r>
        <w:rPr>
          <w:rFonts w:hint="eastAsia"/>
          <w:szCs w:val="21"/>
        </w:rPr>
        <w:t>&lt;0.05).In the ovary,the mRNA relative expression levels of superoxide dismutase 1(SOD1),copper/zinc superoxide dismutase(Cu/Zn</w:t>
      </w:r>
      <w:r>
        <w:rPr>
          <w:rFonts w:hint="eastAsia"/>
          <w:szCs w:val="21"/>
          <w:lang w:val="en-US" w:eastAsia="zh-CN"/>
        </w:rPr>
        <w:t xml:space="preserve"> </w:t>
      </w:r>
      <w:r>
        <w:rPr>
          <w:rFonts w:hint="eastAsia"/>
          <w:szCs w:val="21"/>
        </w:rPr>
        <w:t>SOD)and Mn</w:t>
      </w:r>
      <w:r>
        <w:rPr>
          <w:rFonts w:hint="eastAsia"/>
          <w:szCs w:val="21"/>
          <w:lang w:val="en-US" w:eastAsia="zh-CN"/>
        </w:rPr>
        <w:t xml:space="preserve"> </w:t>
      </w:r>
      <w:r>
        <w:rPr>
          <w:rFonts w:hint="eastAsia"/>
          <w:szCs w:val="21"/>
        </w:rPr>
        <w:t>SOD in the 45%group were significantly higher than those in the 35%and 40%groups(</w:t>
      </w:r>
      <w:r>
        <w:rPr>
          <w:rFonts w:hint="default" w:ascii="Times New Roman Italic" w:hAnsi="Times New Roman Italic" w:cs="Times New Roman Italic"/>
          <w:i/>
          <w:iCs/>
          <w:szCs w:val="21"/>
        </w:rPr>
        <w:t>P</w:t>
      </w:r>
      <w:r>
        <w:rPr>
          <w:rFonts w:hint="eastAsia"/>
          <w:szCs w:val="21"/>
        </w:rPr>
        <w:t>&lt;0.05).</w:t>
      </w:r>
      <w:r>
        <w:rPr>
          <w:rFonts w:hint="eastAsia"/>
          <w:szCs w:val="21"/>
          <w:lang w:val="en-US" w:eastAsia="zh-CN"/>
        </w:rPr>
        <w:t xml:space="preserve"> </w:t>
      </w:r>
      <w:r>
        <w:rPr>
          <w:rFonts w:hint="eastAsia"/>
          <w:szCs w:val="21"/>
        </w:rPr>
        <w:t>5)In the liver,the mRNA relative expression level of Toll</w:t>
      </w:r>
      <w:r>
        <w:rPr>
          <w:rFonts w:hint="eastAsia"/>
          <w:szCs w:val="21"/>
          <w:lang w:val="en-US" w:eastAsia="zh-CN"/>
        </w:rPr>
        <w:t xml:space="preserve"> </w:t>
      </w:r>
      <w:r>
        <w:rPr>
          <w:rFonts w:hint="eastAsia"/>
          <w:szCs w:val="21"/>
        </w:rPr>
        <w:t>like</w:t>
      </w:r>
      <w:r>
        <w:rPr>
          <w:rFonts w:hint="eastAsia"/>
          <w:szCs w:val="21"/>
          <w:lang w:val="en-US" w:eastAsia="zh-CN"/>
        </w:rPr>
        <w:t xml:space="preserve"> </w:t>
      </w:r>
      <w:r>
        <w:rPr>
          <w:rFonts w:hint="eastAsia"/>
          <w:szCs w:val="21"/>
        </w:rPr>
        <w:t>receptor</w:t>
      </w:r>
      <w:r>
        <w:rPr>
          <w:rFonts w:hint="eastAsia"/>
          <w:szCs w:val="21"/>
          <w:lang w:val="en-US" w:eastAsia="zh-CN"/>
        </w:rPr>
        <w:t xml:space="preserve"> </w:t>
      </w:r>
      <w:r>
        <w:rPr>
          <w:rFonts w:hint="eastAsia"/>
          <w:szCs w:val="21"/>
        </w:rPr>
        <w:t>3(TLR3)</w:t>
      </w:r>
      <w:r>
        <w:rPr>
          <w:rFonts w:hint="eastAsia"/>
          <w:szCs w:val="21"/>
          <w:lang w:val="en-US" w:eastAsia="zh-CN"/>
        </w:rPr>
        <w:t xml:space="preserve"> </w:t>
      </w:r>
      <w:r>
        <w:rPr>
          <w:rFonts w:hint="eastAsia"/>
          <w:szCs w:val="21"/>
        </w:rPr>
        <w:t>in the 45%group was significantly higher than that in the 35%and 55%groups</w:t>
      </w:r>
      <w:r>
        <w:rPr>
          <w:rFonts w:hint="eastAsia"/>
          <w:szCs w:val="21"/>
          <w:lang w:val="en-US" w:eastAsia="zh-CN"/>
        </w:rPr>
        <w:t xml:space="preserve"> </w:t>
      </w:r>
      <w:r>
        <w:rPr>
          <w:rFonts w:hint="eastAsia"/>
          <w:szCs w:val="21"/>
        </w:rPr>
        <w:t>(</w:t>
      </w:r>
      <w:r>
        <w:rPr>
          <w:rFonts w:hint="default" w:ascii="Times New Roman Italic" w:hAnsi="Times New Roman Italic" w:cs="Times New Roman Italic"/>
          <w:i/>
          <w:iCs/>
          <w:szCs w:val="21"/>
        </w:rPr>
        <w:t>P</w:t>
      </w:r>
      <w:r>
        <w:rPr>
          <w:rFonts w:hint="eastAsia"/>
          <w:szCs w:val="21"/>
        </w:rPr>
        <w:t>&lt;0.05),and the mRNA relative expression level of immunoglobulin M(IgM)was significantly higher than that in the 35%,40%and 50%groups(</w:t>
      </w:r>
      <w:r>
        <w:rPr>
          <w:rFonts w:hint="default" w:ascii="Times New Roman Italic" w:hAnsi="Times New Roman Italic" w:cs="Times New Roman Italic"/>
          <w:i/>
          <w:iCs/>
          <w:szCs w:val="21"/>
        </w:rPr>
        <w:t>P</w:t>
      </w:r>
      <w:r>
        <w:rPr>
          <w:rFonts w:hint="eastAsia"/>
          <w:szCs w:val="21"/>
        </w:rPr>
        <w:t>&lt;0.05).In the ovary,the mRNA relative expression level of lysozyme(LZM)in the 45%group was significantly higher than that in the 40%,50%and 55%groups(</w:t>
      </w:r>
      <w:r>
        <w:rPr>
          <w:rFonts w:hint="default" w:ascii="Times New Roman Italic" w:hAnsi="Times New Roman Italic" w:cs="Times New Roman Italic"/>
          <w:i/>
          <w:iCs/>
          <w:szCs w:val="21"/>
        </w:rPr>
        <w:t>P</w:t>
      </w:r>
      <w:r>
        <w:rPr>
          <w:rFonts w:hint="eastAsia"/>
          <w:szCs w:val="21"/>
        </w:rPr>
        <w:t>&lt;0.05);the mRNA relative expression levels of heat shock protein 70(HSP70)and Toll</w:t>
      </w:r>
      <w:r>
        <w:rPr>
          <w:rFonts w:hint="eastAsia"/>
          <w:szCs w:val="21"/>
          <w:lang w:val="en-US" w:eastAsia="zh-CN"/>
        </w:rPr>
        <w:t xml:space="preserve"> </w:t>
      </w:r>
      <w:r>
        <w:rPr>
          <w:rFonts w:hint="eastAsia"/>
          <w:szCs w:val="21"/>
        </w:rPr>
        <w:t>like receptor 1(TLR1)were significantly higher than those in the 35%,40%and 55%groups(</w:t>
      </w:r>
      <w:r>
        <w:rPr>
          <w:rFonts w:hint="default" w:ascii="Times New Roman Italic" w:hAnsi="Times New Roman Italic" w:cs="Times New Roman Italic"/>
          <w:i/>
          <w:iCs/>
          <w:szCs w:val="21"/>
        </w:rPr>
        <w:t>P</w:t>
      </w:r>
      <w:r>
        <w:rPr>
          <w:rFonts w:hint="eastAsia"/>
          <w:szCs w:val="21"/>
        </w:rPr>
        <w:t>&lt;0.05),and the mRNA relative expression level of IgM was significantly higher than that in the 40%and 50%groups(</w:t>
      </w:r>
      <w:r>
        <w:rPr>
          <w:rFonts w:hint="default" w:ascii="Times New Roman Italic" w:hAnsi="Times New Roman Italic" w:cs="Times New Roman Italic"/>
          <w:i/>
          <w:iCs/>
          <w:szCs w:val="21"/>
        </w:rPr>
        <w:t>P</w:t>
      </w:r>
      <w:r>
        <w:rPr>
          <w:rFonts w:hint="eastAsia"/>
          <w:szCs w:val="21"/>
        </w:rPr>
        <w:t>&lt;0.05).In conclusion,an appropriate dietary protein level(45%)can enhance the antioxidant capacity and immune function of the liver and ovary of female largemouth bass broodstock after spawning,facilitating their recovery after spawning and improving their reusability.</w:t>
      </w:r>
    </w:p>
    <w:p w14:paraId="510F8600">
      <w:r>
        <w:rPr>
          <w:rFonts w:hint="eastAsia"/>
          <w:b/>
          <w:bCs/>
          <w:szCs w:val="21"/>
        </w:rPr>
        <w:t>Key words:</w:t>
      </w:r>
      <w:r>
        <w:rPr>
          <w:rFonts w:hint="eastAsia"/>
          <w:szCs w:val="21"/>
        </w:rPr>
        <w:t xml:space="preserve"> protein level; female largemouth bass broodstock; post</w:t>
      </w:r>
      <w:r>
        <w:rPr>
          <w:rFonts w:hint="eastAsia"/>
          <w:szCs w:val="21"/>
          <w:lang w:val="en-US" w:eastAsia="zh-CN"/>
        </w:rPr>
        <w:t xml:space="preserve"> </w:t>
      </w:r>
      <w:r>
        <w:rPr>
          <w:rFonts w:hint="eastAsia"/>
          <w:szCs w:val="21"/>
        </w:rPr>
        <w:t>spawning ; antioxidant capacity ; immune function</w:t>
      </w:r>
    </w:p>
    <w:p w14:paraId="4C0ABEC7">
      <w:pPr>
        <w:spacing w:line="360" w:lineRule="auto"/>
        <w:ind w:firstLine="480" w:firstLineChars="200"/>
        <w:rPr>
          <w:rFonts w:hint="eastAsia"/>
          <w:sz w:val="24"/>
          <w:szCs w:val="21"/>
        </w:rPr>
      </w:pPr>
      <w:r>
        <w:rPr>
          <w:rFonts w:hint="eastAsia"/>
          <w:sz w:val="24"/>
          <w:szCs w:val="21"/>
        </w:rPr>
        <w:t>雌性亲鱼在产卵期间对自身体能消耗极大</w:t>
      </w:r>
      <w:r>
        <w:rPr>
          <w:rFonts w:hint="eastAsia"/>
          <w:sz w:val="24"/>
          <w:szCs w:val="21"/>
          <w:vertAlign w:val="superscript"/>
        </w:rPr>
        <w:t>[1]</w:t>
      </w:r>
      <w:r>
        <w:rPr>
          <w:rFonts w:hint="eastAsia"/>
          <w:sz w:val="24"/>
          <w:szCs w:val="21"/>
        </w:rPr>
        <w:t>。在繁殖过程中亲鱼出现免疫能力下降，甚至在产卵后阶段死亡的现象</w:t>
      </w:r>
      <w:r>
        <w:rPr>
          <w:rFonts w:hint="eastAsia"/>
          <w:sz w:val="24"/>
          <w:szCs w:val="21"/>
          <w:vertAlign w:val="superscript"/>
        </w:rPr>
        <w:t>[2]</w:t>
      </w:r>
      <w:r>
        <w:rPr>
          <w:rFonts w:hint="eastAsia"/>
          <w:sz w:val="24"/>
          <w:szCs w:val="21"/>
        </w:rPr>
        <w:t>。被用于进行人工繁殖的亲鱼，在其发生较短的连续产卵过程中，鱼体的营养状况下降，产卵后雌性亲鱼的营养状况会更低</w:t>
      </w:r>
      <w:r>
        <w:rPr>
          <w:rFonts w:hint="eastAsia"/>
          <w:sz w:val="24"/>
          <w:szCs w:val="21"/>
          <w:vertAlign w:val="superscript"/>
        </w:rPr>
        <w:t>[3]</w:t>
      </w:r>
      <w:r>
        <w:rPr>
          <w:rFonts w:hint="eastAsia"/>
          <w:sz w:val="24"/>
          <w:szCs w:val="21"/>
        </w:rPr>
        <w:t>。这些情况都会对亲鱼健康产生负面影响，造成优质亲鱼的数量减少。蛋白质作为水生动物机体不可或缺的营养素，在其性成熟阶段发挥着至关重要的作用</w:t>
      </w:r>
      <w:r>
        <w:rPr>
          <w:rFonts w:hint="eastAsia"/>
          <w:sz w:val="24"/>
          <w:szCs w:val="21"/>
          <w:vertAlign w:val="superscript"/>
        </w:rPr>
        <w:t>[4]</w:t>
      </w:r>
      <w:r>
        <w:rPr>
          <w:rFonts w:hint="eastAsia"/>
          <w:sz w:val="24"/>
          <w:szCs w:val="21"/>
        </w:rPr>
        <w:t>。在卵巢发育过程中，亲本摄入的蛋白质被用于合成并积累卵黄相关物质，如卵黄脂磷蛋白和卵黄蛋白原等</w:t>
      </w:r>
      <w:r>
        <w:rPr>
          <w:rFonts w:hint="eastAsia"/>
          <w:sz w:val="24"/>
          <w:szCs w:val="21"/>
          <w:vertAlign w:val="superscript"/>
        </w:rPr>
        <w:t>[5]</w:t>
      </w:r>
      <w:r>
        <w:rPr>
          <w:rFonts w:hint="eastAsia"/>
          <w:sz w:val="24"/>
          <w:szCs w:val="21"/>
        </w:rPr>
        <w:t>。这些卵黄蛋白的合成与积累不仅是卵巢发育成熟的先决条件，更从根本上奠定了卵巢发育的物质基础</w:t>
      </w:r>
      <w:r>
        <w:rPr>
          <w:rFonts w:hint="eastAsia"/>
          <w:sz w:val="24"/>
          <w:szCs w:val="21"/>
          <w:vertAlign w:val="superscript"/>
        </w:rPr>
        <w:t>[6]</w:t>
      </w:r>
      <w:r>
        <w:rPr>
          <w:rFonts w:hint="eastAsia"/>
          <w:sz w:val="24"/>
          <w:szCs w:val="21"/>
        </w:rPr>
        <w:t>。</w:t>
      </w:r>
    </w:p>
    <w:p w14:paraId="4BC6E834">
      <w:pPr>
        <w:spacing w:line="360" w:lineRule="auto"/>
        <w:ind w:firstLine="480" w:firstLineChars="200"/>
        <w:rPr>
          <w:rFonts w:hint="eastAsia"/>
          <w:sz w:val="24"/>
          <w:szCs w:val="21"/>
        </w:rPr>
      </w:pPr>
      <w:r>
        <w:rPr>
          <w:rFonts w:hint="eastAsia"/>
          <w:sz w:val="24"/>
          <w:szCs w:val="21"/>
        </w:rPr>
        <w:t>蛋白质是饲料中的核心营养元素，适宜的饲料蛋白质水平不仅有助于提升水生动物的生长性能</w:t>
      </w:r>
      <w:r>
        <w:rPr>
          <w:rFonts w:hint="eastAsia"/>
          <w:sz w:val="24"/>
          <w:szCs w:val="21"/>
          <w:vertAlign w:val="superscript"/>
        </w:rPr>
        <w:t>[7]</w:t>
      </w:r>
      <w:r>
        <w:rPr>
          <w:rFonts w:hint="eastAsia"/>
          <w:sz w:val="24"/>
          <w:szCs w:val="21"/>
        </w:rPr>
        <w:t>,也对维持其机体健康具有积极作用</w:t>
      </w:r>
      <w:r>
        <w:rPr>
          <w:rFonts w:hint="eastAsia"/>
          <w:sz w:val="24"/>
          <w:szCs w:val="21"/>
          <w:vertAlign w:val="superscript"/>
        </w:rPr>
        <w:t>[8]</w:t>
      </w:r>
      <w:r>
        <w:rPr>
          <w:rFonts w:hint="eastAsia"/>
          <w:sz w:val="24"/>
          <w:szCs w:val="21"/>
        </w:rPr>
        <w:t>。当饲料中蛋白质水平不足时，易导致肝脏和腹腔内脂肪堆积，进而诱发肝脏功能异常及炎症反应</w:t>
      </w:r>
      <w:r>
        <w:rPr>
          <w:rFonts w:hint="eastAsia"/>
          <w:sz w:val="24"/>
          <w:szCs w:val="21"/>
          <w:vertAlign w:val="superscript"/>
        </w:rPr>
        <w:t>[9-10]</w:t>
      </w:r>
      <w:r>
        <w:rPr>
          <w:rFonts w:hint="eastAsia"/>
          <w:sz w:val="24"/>
          <w:szCs w:val="21"/>
        </w:rPr>
        <w:t>;而过量的蛋白质则会使动物在代谢多余氨基酸的过程中增加能量消耗与代谢负担，同时排出的含氮废物也会影响其健康状态</w:t>
      </w:r>
      <w:r>
        <w:rPr>
          <w:rFonts w:hint="eastAsia"/>
          <w:sz w:val="24"/>
          <w:szCs w:val="21"/>
          <w:vertAlign w:val="superscript"/>
        </w:rPr>
        <w:t>[11]</w:t>
      </w:r>
      <w:r>
        <w:rPr>
          <w:rFonts w:hint="eastAsia"/>
          <w:sz w:val="24"/>
          <w:szCs w:val="21"/>
        </w:rPr>
        <w:t>。在亲鱼研究中，蛋白质被证实能促进卵母细胞的生长与成熟</w:t>
      </w:r>
      <w:r>
        <w:rPr>
          <w:rFonts w:hint="eastAsia"/>
          <w:sz w:val="24"/>
          <w:szCs w:val="21"/>
          <w:vertAlign w:val="superscript"/>
        </w:rPr>
        <w:t>[12]</w:t>
      </w:r>
      <w:r>
        <w:rPr>
          <w:rFonts w:hint="eastAsia"/>
          <w:sz w:val="24"/>
          <w:szCs w:val="21"/>
        </w:rPr>
        <w:t>。适宜水平的饲料蛋白质还可有效提高水生动物的繁殖力与产卵量</w:t>
      </w:r>
      <w:r>
        <w:rPr>
          <w:rFonts w:hint="eastAsia"/>
          <w:sz w:val="24"/>
          <w:szCs w:val="21"/>
          <w:vertAlign w:val="superscript"/>
        </w:rPr>
        <w:t>[13]</w:t>
      </w:r>
      <w:r>
        <w:rPr>
          <w:rFonts w:hint="eastAsia"/>
          <w:sz w:val="24"/>
          <w:szCs w:val="21"/>
        </w:rPr>
        <w:t>。例如，Lu等</w:t>
      </w:r>
      <w:r>
        <w:rPr>
          <w:rFonts w:hint="eastAsia"/>
          <w:sz w:val="24"/>
          <w:szCs w:val="21"/>
          <w:vertAlign w:val="superscript"/>
        </w:rPr>
        <w:t>[11]</w:t>
      </w:r>
      <w:r>
        <w:rPr>
          <w:rFonts w:hint="eastAsia"/>
          <w:sz w:val="24"/>
          <w:szCs w:val="21"/>
        </w:rPr>
        <w:t>研究表明，饲料中蛋白质水平为35.77%~41.12%时，可显著促进克氏原螯虾(</w:t>
      </w:r>
      <w:r>
        <w:rPr>
          <w:rFonts w:hint="default" w:ascii="Times New Roman Italic" w:hAnsi="Times New Roman Italic" w:cs="Times New Roman Italic"/>
          <w:i/>
          <w:iCs/>
          <w:sz w:val="24"/>
          <w:szCs w:val="21"/>
        </w:rPr>
        <w:t>Procambarus clarkii</w:t>
      </w:r>
      <w:r>
        <w:rPr>
          <w:rFonts w:hint="eastAsia"/>
          <w:sz w:val="24"/>
          <w:szCs w:val="21"/>
        </w:rPr>
        <w:t>)卵母细胞的成熟；类似地，Iqbal等</w:t>
      </w:r>
      <w:r>
        <w:rPr>
          <w:rFonts w:hint="eastAsia"/>
          <w:sz w:val="24"/>
          <w:szCs w:val="21"/>
          <w:vertAlign w:val="superscript"/>
        </w:rPr>
        <w:t>[14]</w:t>
      </w:r>
      <w:r>
        <w:rPr>
          <w:rFonts w:hint="eastAsia"/>
          <w:sz w:val="24"/>
          <w:szCs w:val="21"/>
        </w:rPr>
        <w:t>研究发现，何氏细须鲃(</w:t>
      </w:r>
      <w:r>
        <w:rPr>
          <w:rFonts w:hint="default" w:ascii="Times New Roman Italic" w:hAnsi="Times New Roman Italic" w:cs="Times New Roman Italic"/>
          <w:i/>
          <w:iCs/>
          <w:sz w:val="24"/>
          <w:szCs w:val="21"/>
        </w:rPr>
        <w:t>Leptobarbus hoevenii</w:t>
      </w:r>
      <w:r>
        <w:rPr>
          <w:rFonts w:hint="eastAsia"/>
          <w:sz w:val="24"/>
          <w:szCs w:val="21"/>
        </w:rPr>
        <w:t>)在摄入蛋白质水平为400 g/kg的饲料后，其雌性亲鱼的性腺指数、繁殖力及卵母细胞直径均达到最高水平。目前，关于亲鱼蛋白质营养的研究多集中于对初次卵巢发育和繁殖性能的影响。然而，部分鱼类具有多批次产卵的特性，而有关饲料蛋白质在亲鱼产卵后恢复及二次产卵过程中的作用研究仍较为薄弱。因此，进一步探究饲料蛋白质对亲鱼产卵后健康状况的影响，对提升其二次乃至多次繁殖性能具有重要意义。</w:t>
      </w:r>
    </w:p>
    <w:p w14:paraId="2A24EE41">
      <w:pPr>
        <w:spacing w:line="360" w:lineRule="auto"/>
        <w:ind w:firstLine="480" w:firstLineChars="200"/>
        <w:rPr>
          <w:rFonts w:hint="eastAsia"/>
          <w:sz w:val="24"/>
          <w:szCs w:val="21"/>
        </w:rPr>
      </w:pPr>
      <w:r>
        <w:rPr>
          <w:rFonts w:hint="eastAsia"/>
          <w:sz w:val="24"/>
          <w:szCs w:val="21"/>
        </w:rPr>
        <w:t>大口黑鲈(</w:t>
      </w:r>
      <w:r>
        <w:rPr>
          <w:rFonts w:hint="default" w:ascii="Times New Roman Italic" w:hAnsi="Times New Roman Italic" w:cs="Times New Roman Italic"/>
          <w:i/>
          <w:iCs/>
          <w:sz w:val="24"/>
          <w:szCs w:val="21"/>
          <w:vertAlign w:val="baseline"/>
        </w:rPr>
        <w:t>Micropterus salmoides</w:t>
      </w:r>
      <w:r>
        <w:rPr>
          <w:rFonts w:hint="eastAsia"/>
          <w:sz w:val="24"/>
          <w:szCs w:val="21"/>
        </w:rPr>
        <w:t>),俗称加州鲈，隶属于鲈形目太阳鱼科黑鲈属，原产于北美</w:t>
      </w:r>
      <w:r>
        <w:rPr>
          <w:rFonts w:hint="eastAsia"/>
          <w:sz w:val="24"/>
          <w:szCs w:val="21"/>
          <w:vertAlign w:val="superscript"/>
        </w:rPr>
        <w:t>[15]</w:t>
      </w:r>
      <w:r>
        <w:rPr>
          <w:rFonts w:hint="eastAsia"/>
          <w:sz w:val="24"/>
          <w:szCs w:val="21"/>
        </w:rPr>
        <w:t>。该物种雌性亲鱼的怀卵量为40 000~100 000粒，属典型的多批次产卵鱼类</w:t>
      </w:r>
      <w:r>
        <w:rPr>
          <w:rFonts w:hint="eastAsia"/>
          <w:sz w:val="24"/>
          <w:szCs w:val="21"/>
          <w:vertAlign w:val="superscript"/>
        </w:rPr>
        <w:t>[16]</w:t>
      </w:r>
      <w:r>
        <w:rPr>
          <w:rFonts w:hint="eastAsia"/>
          <w:sz w:val="24"/>
          <w:szCs w:val="21"/>
        </w:rPr>
        <w:t>。近年来，借助反季节繁殖技术，已可在同一年秋季诱导大口黑鲈亲鱼进行第2次产卵，显著缩短其繁殖周期</w:t>
      </w:r>
      <w:r>
        <w:rPr>
          <w:rFonts w:hint="eastAsia"/>
          <w:sz w:val="24"/>
          <w:szCs w:val="21"/>
          <w:vertAlign w:val="superscript"/>
        </w:rPr>
        <w:t>[17]</w:t>
      </w:r>
      <w:r>
        <w:rPr>
          <w:rFonts w:hint="eastAsia"/>
          <w:sz w:val="24"/>
          <w:szCs w:val="21"/>
        </w:rPr>
        <w:t>。然而，目前关于大口黑鲈雌性亲鱼在不同繁殖阶段的蛋白质营养需求研究仍相对薄弱，尤其是产卵后阶段的适宜蛋白质供给及其对亲鱼健康恢复的影响，鲜有系统报道。为此，本研究拟通过设置不同蛋白质水平的饲料，探究其对大口黑鲈雌性亲鱼产卵后抗氧化能力和免疫功能的影响，以明确该阶段亲鱼饲料的适宜蛋白质水平，为优化亲鱼产卵后饲料配方、改善雌性亲鱼健康状况、提高其存活率与利用率提供理论依据。</w:t>
      </w:r>
    </w:p>
    <w:p w14:paraId="631E6F00">
      <w:pPr>
        <w:spacing w:line="360" w:lineRule="auto"/>
        <w:rPr>
          <w:rFonts w:hint="eastAsia"/>
          <w:sz w:val="24"/>
          <w:szCs w:val="21"/>
        </w:rPr>
      </w:pPr>
      <w:r>
        <w:rPr>
          <w:rFonts w:hint="eastAsia"/>
          <w:sz w:val="24"/>
          <w:szCs w:val="21"/>
        </w:rPr>
        <w:t>1材料与方法</w:t>
      </w:r>
    </w:p>
    <w:p w14:paraId="163AF2A0">
      <w:pPr>
        <w:spacing w:line="360" w:lineRule="auto"/>
        <w:rPr>
          <w:rFonts w:hint="eastAsia"/>
          <w:sz w:val="24"/>
          <w:szCs w:val="21"/>
        </w:rPr>
      </w:pPr>
      <w:r>
        <w:rPr>
          <w:rFonts w:hint="eastAsia"/>
          <w:sz w:val="24"/>
          <w:szCs w:val="21"/>
        </w:rPr>
        <w:t>1.1试验设计</w:t>
      </w:r>
    </w:p>
    <w:p w14:paraId="4B480587">
      <w:pPr>
        <w:spacing w:line="360" w:lineRule="auto"/>
        <w:ind w:firstLine="480" w:firstLineChars="200"/>
        <w:rPr>
          <w:rFonts w:hint="eastAsia"/>
          <w:sz w:val="24"/>
          <w:szCs w:val="21"/>
        </w:rPr>
      </w:pPr>
      <w:r>
        <w:rPr>
          <w:rFonts w:hint="eastAsia"/>
          <w:sz w:val="24"/>
          <w:szCs w:val="21"/>
        </w:rPr>
        <w:t>试验中所用产卵后大口黑鲈雌性亲鱼采购于浙江省湖州市某养殖场，放置于暂养池中暂养1周，使其适应试验条件。暂养结束后，选择健康无病的初始体重为(493.85±3.36)g的大口黑鲈雌性亲鱼共210尾，进行打标后随机分为5组，放入30个桶(500 L)中，每组6个桶（重复），每桶7尾鱼。5组亲鱼饲喂蛋白质水平分别为35%、40%、45%、50%和55%试验饲料（对应分组命名为35%、40%、45%、50%和55%组），循环水养殖8周。该动物试验经湖州师范学院实验动物伦理委员会审查批准（批准代码20220701)。</w:t>
      </w:r>
    </w:p>
    <w:p w14:paraId="3AB8EC69">
      <w:pPr>
        <w:spacing w:line="360" w:lineRule="auto"/>
        <w:rPr>
          <w:rFonts w:hint="eastAsia"/>
          <w:sz w:val="24"/>
          <w:szCs w:val="21"/>
        </w:rPr>
      </w:pPr>
      <w:r>
        <w:rPr>
          <w:rFonts w:hint="eastAsia"/>
          <w:sz w:val="24"/>
          <w:szCs w:val="21"/>
        </w:rPr>
        <w:t>1.2试验饲料</w:t>
      </w:r>
    </w:p>
    <w:p w14:paraId="32942E70">
      <w:pPr>
        <w:spacing w:line="360" w:lineRule="auto"/>
        <w:ind w:firstLine="480" w:firstLineChars="200"/>
        <w:rPr>
          <w:rFonts w:hint="eastAsia"/>
          <w:sz w:val="24"/>
          <w:szCs w:val="21"/>
        </w:rPr>
      </w:pPr>
      <w:r>
        <w:rPr>
          <w:rFonts w:hint="eastAsia"/>
          <w:sz w:val="24"/>
          <w:szCs w:val="21"/>
        </w:rPr>
        <w:t>试验饲料以鱼粉、豆粕和大豆浓缩蛋白为蛋白质源，且3种蛋白质源成比例递增，以预糊化淀粉为糖源，以鱼油、豆油和大豆卵磷脂为脂肪源，配制5种蛋白质水平分别为35%、40%、45%、50%和55%的等脂等能试验饲料。试验饲料组成及营养水平见表1,其氨基酸组成见表2。在制作饲料之前，先将所有原料进行粉碎处理，均粉碎至能过60目的筛网，且筛上物小于5%。粉碎完原料之后，按照饲料配方进行称重、手动混匀、加油搅拌、过筛；随后使用双螺旋挤条机制成直径为2.5 mm的颗粒饲料，用烘箱在65℃温度下熟化2 h后，45℃下烘干；常温冷却，装袋编号后置于-20℃冰箱保存备用。</w:t>
      </w:r>
    </w:p>
    <w:p w14:paraId="670C118A">
      <w:pPr>
        <w:spacing w:line="360" w:lineRule="auto"/>
        <w:rPr>
          <w:rFonts w:hint="eastAsia"/>
          <w:sz w:val="24"/>
          <w:szCs w:val="21"/>
        </w:rPr>
      </w:pPr>
      <w:r>
        <w:rPr>
          <w:rFonts w:hint="eastAsia"/>
          <w:sz w:val="24"/>
          <w:szCs w:val="21"/>
        </w:rPr>
        <w:t>1.3饲养管理</w:t>
      </w:r>
    </w:p>
    <w:p w14:paraId="2C45D5A2">
      <w:pPr>
        <w:spacing w:line="360" w:lineRule="auto"/>
        <w:ind w:firstLine="480" w:firstLineChars="200"/>
        <w:rPr>
          <w:rFonts w:hint="eastAsia"/>
          <w:sz w:val="24"/>
          <w:szCs w:val="21"/>
        </w:rPr>
      </w:pPr>
      <w:r>
        <w:rPr>
          <w:rFonts w:hint="eastAsia"/>
          <w:sz w:val="24"/>
          <w:szCs w:val="21"/>
        </w:rPr>
        <w:t>养殖试验在浙江省湖州师范学院养殖中心循环系统中进行。每日换水1次，换水量为整个水体的1/3,每日2次(09:00和16:00)定时定量定点投喂，日投喂量为鱼体重的2%~5%,并根据温度和天气情况进行调整，各组投喂量保持基本一致。每日采用虹吸方式进行吸污。在自然光照周期下，水温保持在19~25℃,水体中溶解氧浓度＞6.5 mg/L,pH为6.8~7.5,氨氮浓度≤0.1 mg/L。</w:t>
      </w:r>
    </w:p>
    <w:p w14:paraId="230F7DB9">
      <w:pPr>
        <w:spacing w:line="360" w:lineRule="auto"/>
        <w:rPr>
          <w:rFonts w:hint="eastAsia"/>
          <w:sz w:val="24"/>
          <w:szCs w:val="21"/>
        </w:rPr>
      </w:pPr>
      <w:r>
        <w:rPr>
          <w:rFonts w:hint="eastAsia"/>
          <w:sz w:val="24"/>
          <w:szCs w:val="21"/>
        </w:rPr>
        <w:t>1.4样品采集和指标测定</w:t>
      </w:r>
    </w:p>
    <w:p w14:paraId="4E6B8714">
      <w:pPr>
        <w:spacing w:line="360" w:lineRule="auto"/>
        <w:rPr>
          <w:rFonts w:hint="eastAsia"/>
          <w:sz w:val="24"/>
          <w:szCs w:val="21"/>
        </w:rPr>
      </w:pPr>
      <w:r>
        <w:rPr>
          <w:rFonts w:hint="eastAsia"/>
          <w:sz w:val="24"/>
          <w:szCs w:val="21"/>
        </w:rPr>
        <w:t>1.4.1饲料营养成分</w:t>
      </w:r>
    </w:p>
    <w:p w14:paraId="09D1887D">
      <w:pPr>
        <w:spacing w:line="360" w:lineRule="auto"/>
        <w:ind w:firstLine="480" w:firstLineChars="200"/>
        <w:rPr>
          <w:rFonts w:hint="eastAsia"/>
          <w:sz w:val="24"/>
          <w:szCs w:val="21"/>
        </w:rPr>
      </w:pPr>
      <w:r>
        <w:rPr>
          <w:rFonts w:hint="eastAsia"/>
          <w:sz w:val="24"/>
          <w:szCs w:val="21"/>
        </w:rPr>
        <w:t>取制作完成的试验饲料测定营养成分含量。采用杜马斯定氮仪(GB/T 24318—2009)测定粗蛋白质含量；采用索氏抽提法(GB/T 6433—2006)测定粗脂肪含量；采用105℃恒温烘干失重法(GB/T 6435—2014)测定水分（干物质）含量；采用马弗炉550℃灼烧法(GB/T 6438—2007)测定粗灰分含量；采用高效液相色谱仪进行氨基酸组成分析。</w:t>
      </w:r>
    </w:p>
    <w:p w14:paraId="12711B60">
      <w:pPr>
        <w:spacing w:line="360" w:lineRule="auto"/>
        <w:rPr>
          <w:rFonts w:hint="eastAsia"/>
          <w:sz w:val="24"/>
          <w:szCs w:val="21"/>
        </w:rPr>
      </w:pPr>
      <w:r>
        <w:drawing>
          <wp:anchor distT="0" distB="0" distL="114300" distR="114300" simplePos="0" relativeHeight="251678720" behindDoc="0" locked="0" layoutInCell="1" allowOverlap="1">
            <wp:simplePos x="0" y="0"/>
            <wp:positionH relativeFrom="column">
              <wp:posOffset>568960</wp:posOffset>
            </wp:positionH>
            <wp:positionV relativeFrom="paragraph">
              <wp:posOffset>213360</wp:posOffset>
            </wp:positionV>
            <wp:extent cx="5074920" cy="4115435"/>
            <wp:effectExtent l="0" t="0" r="5080" b="12065"/>
            <wp:wrapTopAndBottom/>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3"/>
                    <pic:cNvPicPr>
                      <a:picLocks noChangeAspect="1"/>
                    </pic:cNvPicPr>
                  </pic:nvPicPr>
                  <pic:blipFill>
                    <a:blip r:embed="rId19"/>
                    <a:stretch>
                      <a:fillRect/>
                    </a:stretch>
                  </pic:blipFill>
                  <pic:spPr>
                    <a:xfrm>
                      <a:off x="0" y="0"/>
                      <a:ext cx="5074920" cy="4115435"/>
                    </a:xfrm>
                    <a:prstGeom prst="rect">
                      <a:avLst/>
                    </a:prstGeom>
                    <a:noFill/>
                    <a:ln>
                      <a:noFill/>
                    </a:ln>
                  </pic:spPr>
                </pic:pic>
              </a:graphicData>
            </a:graphic>
          </wp:anchor>
        </w:drawing>
      </w:r>
    </w:p>
    <w:p w14:paraId="61D39EF6">
      <w:pPr>
        <w:spacing w:line="360" w:lineRule="auto"/>
        <w:rPr>
          <w:rFonts w:hint="eastAsia"/>
          <w:sz w:val="24"/>
          <w:szCs w:val="21"/>
        </w:rPr>
      </w:pPr>
    </w:p>
    <w:p w14:paraId="07D0CC59">
      <w:pPr>
        <w:spacing w:line="360" w:lineRule="auto"/>
        <w:rPr>
          <w:rFonts w:hint="eastAsia"/>
          <w:sz w:val="24"/>
          <w:szCs w:val="21"/>
        </w:rPr>
      </w:pPr>
    </w:p>
    <w:p w14:paraId="15B3DFA1">
      <w:pPr>
        <w:spacing w:line="360" w:lineRule="auto"/>
        <w:rPr>
          <w:rFonts w:hint="eastAsia"/>
          <w:sz w:val="24"/>
          <w:szCs w:val="21"/>
        </w:rPr>
      </w:pPr>
    </w:p>
    <w:p w14:paraId="7C0FD092">
      <w:pPr>
        <w:spacing w:line="360" w:lineRule="auto"/>
      </w:pPr>
      <w:r>
        <w:drawing>
          <wp:inline distT="0" distB="0" distL="114300" distR="114300">
            <wp:extent cx="5974080" cy="1767205"/>
            <wp:effectExtent l="0" t="0" r="7620" b="10795"/>
            <wp:docPr id="3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5"/>
                    <pic:cNvPicPr>
                      <a:picLocks noChangeAspect="1"/>
                    </pic:cNvPicPr>
                  </pic:nvPicPr>
                  <pic:blipFill>
                    <a:blip r:embed="rId20"/>
                    <a:stretch>
                      <a:fillRect/>
                    </a:stretch>
                  </pic:blipFill>
                  <pic:spPr>
                    <a:xfrm>
                      <a:off x="0" y="0"/>
                      <a:ext cx="5974080" cy="1767205"/>
                    </a:xfrm>
                    <a:prstGeom prst="rect">
                      <a:avLst/>
                    </a:prstGeom>
                    <a:noFill/>
                    <a:ln>
                      <a:noFill/>
                    </a:ln>
                  </pic:spPr>
                </pic:pic>
              </a:graphicData>
            </a:graphic>
          </wp:inline>
        </w:drawing>
      </w:r>
      <w:r>
        <w:drawing>
          <wp:anchor distT="0" distB="0" distL="114300" distR="114300" simplePos="0" relativeHeight="251679744" behindDoc="0" locked="0" layoutInCell="1" allowOverlap="1">
            <wp:simplePos x="0" y="0"/>
            <wp:positionH relativeFrom="column">
              <wp:posOffset>-26670</wp:posOffset>
            </wp:positionH>
            <wp:positionV relativeFrom="paragraph">
              <wp:posOffset>382905</wp:posOffset>
            </wp:positionV>
            <wp:extent cx="5972810" cy="2593975"/>
            <wp:effectExtent l="0" t="0" r="8890" b="9525"/>
            <wp:wrapTopAndBottom/>
            <wp:docPr id="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pic:cNvPicPr>
                  </pic:nvPicPr>
                  <pic:blipFill>
                    <a:blip r:embed="rId21"/>
                    <a:stretch>
                      <a:fillRect/>
                    </a:stretch>
                  </pic:blipFill>
                  <pic:spPr>
                    <a:xfrm>
                      <a:off x="0" y="0"/>
                      <a:ext cx="5972810" cy="2593975"/>
                    </a:xfrm>
                    <a:prstGeom prst="rect">
                      <a:avLst/>
                    </a:prstGeom>
                    <a:noFill/>
                    <a:ln>
                      <a:noFill/>
                    </a:ln>
                  </pic:spPr>
                </pic:pic>
              </a:graphicData>
            </a:graphic>
          </wp:anchor>
        </w:drawing>
      </w:r>
    </w:p>
    <w:p w14:paraId="1E027755">
      <w:pPr>
        <w:spacing w:line="360" w:lineRule="auto"/>
        <w:rPr>
          <w:rFonts w:hint="eastAsia" w:eastAsia="宋体"/>
          <w:sz w:val="24"/>
          <w:szCs w:val="21"/>
        </w:rPr>
      </w:pPr>
      <w:r>
        <w:rPr>
          <w:rFonts w:hint="eastAsia" w:eastAsia="宋体"/>
          <w:sz w:val="24"/>
          <w:szCs w:val="21"/>
        </w:rPr>
        <w:t>1.4.2形体指标</w:t>
      </w:r>
    </w:p>
    <w:p w14:paraId="08BFEBCF">
      <w:pPr>
        <w:spacing w:line="360" w:lineRule="auto"/>
        <w:ind w:firstLine="480" w:firstLineChars="200"/>
        <w:rPr>
          <w:rFonts w:hint="eastAsia" w:eastAsia="宋体"/>
          <w:sz w:val="24"/>
          <w:szCs w:val="21"/>
        </w:rPr>
      </w:pPr>
      <w:r>
        <w:rPr>
          <w:rFonts w:hint="eastAsia" w:eastAsia="宋体"/>
          <w:sz w:val="24"/>
          <w:szCs w:val="21"/>
        </w:rPr>
        <w:t>养殖试验结束后，从每组的6个重复中各随机取试验鱼1尾（每组共6尾），将其放入含有丁香酚的水中进行麻醉，随后扫标，称量体重；解剖后，称取内脏团重、肝脏重和肠系膜脂肪重，并按照以下公式计算形体指标：</w:t>
      </w:r>
    </w:p>
    <w:p w14:paraId="7316302D">
      <w:pPr>
        <w:spacing w:line="360" w:lineRule="auto"/>
        <w:ind w:firstLine="480" w:firstLineChars="200"/>
        <w:rPr>
          <w:rFonts w:hint="eastAsia" w:eastAsia="宋体"/>
          <w:sz w:val="24"/>
          <w:szCs w:val="21"/>
        </w:rPr>
      </w:pPr>
      <w:r>
        <w:rPr>
          <w:rFonts w:hint="eastAsia" w:eastAsia="宋体"/>
          <w:sz w:val="24"/>
          <w:szCs w:val="21"/>
        </w:rPr>
        <w:t>肝体比(HSI,%)=(Wh/Wt)×100;</w:t>
      </w:r>
    </w:p>
    <w:p w14:paraId="578C2950">
      <w:pPr>
        <w:spacing w:line="360" w:lineRule="auto"/>
        <w:ind w:firstLine="480" w:firstLineChars="200"/>
        <w:rPr>
          <w:rFonts w:hint="eastAsia" w:eastAsia="宋体"/>
          <w:sz w:val="24"/>
          <w:szCs w:val="21"/>
        </w:rPr>
      </w:pPr>
      <w:r>
        <w:rPr>
          <w:rFonts w:hint="eastAsia" w:eastAsia="宋体"/>
          <w:sz w:val="24"/>
          <w:szCs w:val="21"/>
        </w:rPr>
        <w:t>脏体比(VSI,%)=(Wv/Wt)×100;</w:t>
      </w:r>
    </w:p>
    <w:p w14:paraId="0A6A3788">
      <w:pPr>
        <w:spacing w:line="360" w:lineRule="auto"/>
        <w:ind w:firstLine="480" w:firstLineChars="200"/>
        <w:rPr>
          <w:rFonts w:hint="eastAsia" w:eastAsia="宋体"/>
          <w:sz w:val="24"/>
          <w:szCs w:val="21"/>
        </w:rPr>
      </w:pPr>
      <w:r>
        <w:rPr>
          <w:rFonts w:hint="eastAsia" w:eastAsia="宋体"/>
          <w:sz w:val="24"/>
          <w:szCs w:val="21"/>
        </w:rPr>
        <w:t>肠系膜脂肪系数(MFI,%)=(Wf/Wt)×100。</w:t>
      </w:r>
    </w:p>
    <w:p w14:paraId="5C819AD7">
      <w:pPr>
        <w:spacing w:line="360" w:lineRule="auto"/>
        <w:ind w:firstLine="480" w:firstLineChars="200"/>
        <w:rPr>
          <w:rFonts w:hint="eastAsia" w:eastAsia="宋体"/>
          <w:sz w:val="24"/>
          <w:szCs w:val="21"/>
        </w:rPr>
      </w:pPr>
      <w:r>
        <w:rPr>
          <w:rFonts w:hint="eastAsia" w:eastAsia="宋体"/>
          <w:sz w:val="24"/>
          <w:szCs w:val="21"/>
        </w:rPr>
        <w:t>式中：Wt为最终体重(g);Wh为肝脏重(g);Wv为内脏团重(g);Wf为肠系膜脂肪重(g)。</w:t>
      </w:r>
    </w:p>
    <w:p w14:paraId="2235C931">
      <w:pPr>
        <w:spacing w:line="360" w:lineRule="auto"/>
        <w:rPr>
          <w:rFonts w:hint="eastAsia" w:eastAsia="宋体"/>
          <w:sz w:val="24"/>
          <w:szCs w:val="21"/>
        </w:rPr>
      </w:pPr>
      <w:r>
        <w:rPr>
          <w:rFonts w:hint="eastAsia" w:eastAsia="宋体"/>
          <w:sz w:val="24"/>
          <w:szCs w:val="21"/>
        </w:rPr>
        <w:t>1.4.3肝脏和卵巢中抗氧化和免疫相关指标的测定</w:t>
      </w:r>
    </w:p>
    <w:p w14:paraId="651CB5E1">
      <w:pPr>
        <w:spacing w:line="360" w:lineRule="auto"/>
        <w:ind w:firstLine="480" w:firstLineChars="200"/>
        <w:rPr>
          <w:rFonts w:hint="eastAsia" w:eastAsia="宋体"/>
          <w:sz w:val="24"/>
          <w:szCs w:val="21"/>
        </w:rPr>
      </w:pPr>
      <w:r>
        <w:rPr>
          <w:rFonts w:hint="eastAsia" w:eastAsia="宋体"/>
          <w:sz w:val="24"/>
          <w:szCs w:val="21"/>
        </w:rPr>
        <w:t>取适量肝脏和卵巢组织，采用上海恒远生物科技有限公司提供的试剂盒测定抗氧化和免疫相关指标，包括超氧化物歧化酶(SOD,试剂盒编号P-942-SH)、过氧化氢酶(CAT,试剂盒编号A-005-SH)、谷胱甘肽过氧化物酶(GPx,试剂盒编号B-114-SH)、还原型谷胱甘肽(GSH,试剂盒编号B-118-SH)、溶菌酶(LZM,试剂盒编号P-823-SH)、酸性磷酸酶(ACP,试剂盒编号P-931-SH)、碱性磷酸酶(AKP,试剂盒编号L-726-SH)、免疫球蛋白(IgM,试剂盒编号HS318-QT)含量或活性。所有样品的测定过程均严格按照试剂盒说明书进行。</w:t>
      </w:r>
    </w:p>
    <w:p w14:paraId="62B3553C">
      <w:pPr>
        <w:spacing w:line="360" w:lineRule="auto"/>
        <w:rPr>
          <w:rFonts w:hint="eastAsia" w:eastAsia="宋体"/>
          <w:sz w:val="24"/>
          <w:szCs w:val="21"/>
        </w:rPr>
      </w:pPr>
      <w:r>
        <w:rPr>
          <w:rFonts w:hint="eastAsia" w:eastAsia="宋体"/>
          <w:sz w:val="24"/>
          <w:szCs w:val="21"/>
        </w:rPr>
        <w:t>1.4.4肝脏和卵巢中抗氧化和免疫相关基因表达分析</w:t>
      </w:r>
    </w:p>
    <w:p w14:paraId="6DF91522">
      <w:pPr>
        <w:spacing w:line="360" w:lineRule="auto"/>
        <w:ind w:firstLine="480" w:firstLineChars="200"/>
        <w:rPr>
          <w:rFonts w:hint="eastAsia" w:eastAsia="宋体"/>
          <w:sz w:val="24"/>
          <w:szCs w:val="21"/>
        </w:rPr>
      </w:pPr>
      <w:r>
        <w:rPr>
          <w:rFonts w:hint="eastAsia" w:eastAsia="宋体"/>
          <w:sz w:val="24"/>
          <w:szCs w:val="21"/>
        </w:rPr>
        <w:t>分别取适量肝脏和卵巢组织，提取总RNA,并使用PrimeScriptTM RT Master Mix反转录试剂盒(TaKaRa,日本）反转录为cDNA。所测抗氧化和免疫相关基因包括CAT、谷胱甘肽转移酶(GST)、GPx、超氧化物歧化酶1(SOD1)、超氧化物歧化酶3(SOD3)、锰－超氧化物歧化酶(MnSOD)、铜/锌－超氧化物歧化酶(Cu/Zn⁃SOD)、热休克蛋白70(HSP70)、Toll样受体1(TLR1)、Toll样受体2(TLR2)、Toll样受体3(TLR3)、Toll样受体9(TLR9)、转化生长因子β3(TGFβ3)、IgM、LZM、白细胞介素1β(IL1β)、白细胞介素8(IL8)、肿瘤坏死因子α(TNFα),基因序列来源于课题组前期获得的肝胰腺转录组测序结果及NCBI数据库，使用NCBI在线引物设计工具Primer BLAST进行引物设计，引物信息见表3。采用江苏康为世纪生物科技股份有限公司生产的SYBR染料，在CFX96 Real⁃Time PCR仪(Bio⁃Rad,美国）上进行实时荧光定量PCR(RT⁃qPCR)。反应程序为：95℃预变性10 min;随后进行40个循环，包括95℃变性10 s,60℃退火30 s,72℃延伸32 s。以β-肌动蛋白(β⁃actin)和甘油醛-3-磷酸脱氢酶(GAPDH)作为内参基因，采用2-ΔΔCt方法计算各目的基因的mRNA在肝脏和卵巢中的相对表达量。</w:t>
      </w:r>
    </w:p>
    <w:p w14:paraId="6722FF24">
      <w:pPr>
        <w:spacing w:line="360" w:lineRule="auto"/>
        <w:ind w:firstLine="480" w:firstLineChars="200"/>
        <w:rPr>
          <w:rFonts w:hint="eastAsia" w:eastAsia="宋体"/>
          <w:sz w:val="24"/>
          <w:szCs w:val="21"/>
        </w:rPr>
      </w:pPr>
      <w:r>
        <w:rPr>
          <w:rFonts w:hint="eastAsia" w:eastAsia="宋体"/>
          <w:sz w:val="24"/>
          <w:szCs w:val="21"/>
        </w:rPr>
        <w:t>1.5数据统计与分析</w:t>
      </w:r>
    </w:p>
    <w:p w14:paraId="7E826CE6">
      <w:pPr>
        <w:spacing w:line="360" w:lineRule="auto"/>
        <w:ind w:firstLine="480" w:firstLineChars="200"/>
        <w:rPr>
          <w:rFonts w:hint="eastAsia" w:eastAsia="宋体"/>
          <w:sz w:val="24"/>
          <w:szCs w:val="21"/>
        </w:rPr>
      </w:pPr>
      <w:r>
        <w:rPr>
          <w:rFonts w:hint="eastAsia" w:eastAsia="宋体"/>
          <w:sz w:val="24"/>
          <w:szCs w:val="21"/>
        </w:rPr>
        <w:t>试验数据采用SPSS 25.0软件进行统计分析。首先通过单因素方差分析(one⁃way ANOVA)检验各组间差异的显著性，随后采用Duncan氏法进行多重比较。以</w:t>
      </w:r>
      <w:r>
        <w:rPr>
          <w:rFonts w:hint="default" w:ascii="Times New Roman Italic" w:hAnsi="Times New Roman Italic" w:eastAsia="宋体" w:cs="Times New Roman Italic"/>
          <w:i/>
          <w:iCs/>
          <w:sz w:val="24"/>
          <w:szCs w:val="21"/>
        </w:rPr>
        <w:t>P</w:t>
      </w:r>
      <w:r>
        <w:rPr>
          <w:rFonts w:hint="eastAsia" w:eastAsia="宋体"/>
          <w:sz w:val="24"/>
          <w:szCs w:val="21"/>
        </w:rPr>
        <w:t>&lt;0.05作为差异显著性的判断标准。试验结果以平均值±标准误(mean±SE)的形式表示。</w:t>
      </w:r>
    </w:p>
    <w:p w14:paraId="4A9FE3B2">
      <w:pPr>
        <w:spacing w:line="360" w:lineRule="auto"/>
        <w:ind w:firstLine="480" w:firstLineChars="200"/>
        <w:rPr>
          <w:rFonts w:hint="eastAsia" w:eastAsia="宋体"/>
          <w:sz w:val="24"/>
          <w:szCs w:val="21"/>
        </w:rPr>
      </w:pPr>
    </w:p>
    <w:p w14:paraId="239C8616">
      <w:pPr>
        <w:spacing w:line="360" w:lineRule="auto"/>
        <w:ind w:firstLine="480" w:firstLineChars="200"/>
        <w:rPr>
          <w:rFonts w:hint="eastAsia" w:eastAsia="宋体"/>
          <w:sz w:val="24"/>
          <w:szCs w:val="21"/>
        </w:rPr>
      </w:pPr>
    </w:p>
    <w:p w14:paraId="76653309">
      <w:pPr>
        <w:spacing w:line="360" w:lineRule="auto"/>
        <w:ind w:firstLine="480" w:firstLineChars="200"/>
        <w:rPr>
          <w:rFonts w:hint="eastAsia" w:eastAsia="宋体"/>
          <w:sz w:val="24"/>
          <w:szCs w:val="21"/>
        </w:rPr>
      </w:pPr>
    </w:p>
    <w:p w14:paraId="066C19A2">
      <w:pPr>
        <w:spacing w:line="360" w:lineRule="auto"/>
        <w:ind w:firstLine="480" w:firstLineChars="200"/>
        <w:rPr>
          <w:rFonts w:hint="eastAsia" w:eastAsia="宋体"/>
          <w:sz w:val="24"/>
          <w:szCs w:val="21"/>
        </w:rPr>
      </w:pPr>
    </w:p>
    <w:p w14:paraId="68BB3694">
      <w:pPr>
        <w:spacing w:line="360" w:lineRule="auto"/>
        <w:ind w:firstLine="480" w:firstLineChars="200"/>
        <w:rPr>
          <w:rFonts w:hint="eastAsia" w:eastAsia="宋体"/>
          <w:sz w:val="24"/>
          <w:szCs w:val="21"/>
        </w:rPr>
      </w:pPr>
    </w:p>
    <w:p w14:paraId="0C5F2E1E">
      <w:pPr>
        <w:spacing w:line="360" w:lineRule="auto"/>
        <w:ind w:firstLine="480" w:firstLineChars="200"/>
        <w:rPr>
          <w:rFonts w:hint="eastAsia" w:eastAsia="宋体"/>
          <w:sz w:val="24"/>
          <w:szCs w:val="21"/>
        </w:rPr>
      </w:pPr>
    </w:p>
    <w:p w14:paraId="0F72B437">
      <w:pPr>
        <w:spacing w:line="360" w:lineRule="auto"/>
        <w:ind w:firstLine="480" w:firstLineChars="200"/>
        <w:rPr>
          <w:rFonts w:hint="eastAsia" w:eastAsia="宋体"/>
          <w:sz w:val="24"/>
          <w:szCs w:val="21"/>
        </w:rPr>
      </w:pPr>
    </w:p>
    <w:p w14:paraId="4CC3EC72">
      <w:pPr>
        <w:spacing w:line="360" w:lineRule="auto"/>
        <w:ind w:firstLine="480" w:firstLineChars="200"/>
        <w:rPr>
          <w:rFonts w:hint="eastAsia" w:eastAsia="宋体"/>
          <w:sz w:val="24"/>
          <w:szCs w:val="21"/>
        </w:rPr>
      </w:pPr>
    </w:p>
    <w:p w14:paraId="29EF42EE">
      <w:pPr>
        <w:spacing w:line="360" w:lineRule="auto"/>
        <w:ind w:firstLine="420" w:firstLineChars="200"/>
        <w:rPr>
          <w:rFonts w:hint="eastAsia" w:eastAsia="宋体"/>
          <w:sz w:val="24"/>
          <w:szCs w:val="21"/>
        </w:rPr>
      </w:pPr>
      <w:r>
        <w:drawing>
          <wp:anchor distT="0" distB="0" distL="114300" distR="114300" simplePos="0" relativeHeight="251680768" behindDoc="0" locked="0" layoutInCell="1" allowOverlap="1">
            <wp:simplePos x="0" y="0"/>
            <wp:positionH relativeFrom="column">
              <wp:posOffset>125095</wp:posOffset>
            </wp:positionH>
            <wp:positionV relativeFrom="paragraph">
              <wp:posOffset>260985</wp:posOffset>
            </wp:positionV>
            <wp:extent cx="5949950" cy="7447915"/>
            <wp:effectExtent l="0" t="0" r="6350" b="6985"/>
            <wp:wrapTopAndBottom/>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22"/>
                    <a:stretch>
                      <a:fillRect/>
                    </a:stretch>
                  </pic:blipFill>
                  <pic:spPr>
                    <a:xfrm>
                      <a:off x="0" y="0"/>
                      <a:ext cx="5949950" cy="7447915"/>
                    </a:xfrm>
                    <a:prstGeom prst="rect">
                      <a:avLst/>
                    </a:prstGeom>
                    <a:noFill/>
                    <a:ln>
                      <a:noFill/>
                    </a:ln>
                  </pic:spPr>
                </pic:pic>
              </a:graphicData>
            </a:graphic>
          </wp:anchor>
        </w:drawing>
      </w:r>
    </w:p>
    <w:p w14:paraId="2491D3FB">
      <w:pPr>
        <w:spacing w:line="360" w:lineRule="auto"/>
        <w:ind w:firstLine="480" w:firstLineChars="200"/>
        <w:rPr>
          <w:rFonts w:hint="eastAsia" w:eastAsia="宋体"/>
          <w:sz w:val="24"/>
          <w:szCs w:val="21"/>
        </w:rPr>
      </w:pPr>
    </w:p>
    <w:p w14:paraId="1147184E">
      <w:pPr>
        <w:spacing w:line="360" w:lineRule="auto"/>
        <w:ind w:firstLine="480" w:firstLineChars="200"/>
        <w:rPr>
          <w:rFonts w:hint="eastAsia" w:eastAsia="宋体"/>
          <w:sz w:val="24"/>
          <w:szCs w:val="21"/>
        </w:rPr>
      </w:pPr>
    </w:p>
    <w:p w14:paraId="0DEC8DC2">
      <w:pPr>
        <w:spacing w:line="360" w:lineRule="auto"/>
        <w:ind w:firstLine="480" w:firstLineChars="200"/>
        <w:rPr>
          <w:rFonts w:hint="eastAsia" w:eastAsia="宋体"/>
          <w:sz w:val="24"/>
          <w:szCs w:val="21"/>
        </w:rPr>
      </w:pPr>
    </w:p>
    <w:p w14:paraId="59049383">
      <w:pPr>
        <w:spacing w:line="360" w:lineRule="auto"/>
        <w:ind w:firstLine="480" w:firstLineChars="200"/>
        <w:rPr>
          <w:rFonts w:hint="eastAsia" w:eastAsia="宋体"/>
          <w:sz w:val="24"/>
          <w:szCs w:val="21"/>
        </w:rPr>
      </w:pPr>
      <w:r>
        <w:rPr>
          <w:rFonts w:hint="eastAsia" w:eastAsia="宋体"/>
          <w:sz w:val="24"/>
          <w:szCs w:val="21"/>
        </w:rPr>
        <w:t>2结果与分析</w:t>
      </w:r>
    </w:p>
    <w:p w14:paraId="6309F97B">
      <w:pPr>
        <w:spacing w:line="360" w:lineRule="auto"/>
        <w:ind w:firstLine="480" w:firstLineChars="200"/>
        <w:rPr>
          <w:rFonts w:hint="eastAsia" w:eastAsia="宋体"/>
          <w:sz w:val="24"/>
          <w:szCs w:val="21"/>
        </w:rPr>
      </w:pPr>
      <w:r>
        <w:rPr>
          <w:rFonts w:hint="eastAsia" w:eastAsia="宋体"/>
          <w:sz w:val="24"/>
          <w:szCs w:val="21"/>
        </w:rPr>
        <w:t>2.1饲料蛋白质水平对大口黑鲈雌性亲鱼产卵后形体指标的影响</w:t>
      </w:r>
    </w:p>
    <w:p w14:paraId="2CE49FD9">
      <w:pPr>
        <w:spacing w:line="360" w:lineRule="auto"/>
        <w:ind w:firstLine="480" w:firstLineChars="200"/>
        <w:rPr>
          <w:rFonts w:hint="eastAsia" w:eastAsia="宋体"/>
          <w:sz w:val="24"/>
          <w:szCs w:val="21"/>
        </w:rPr>
      </w:pPr>
      <w:r>
        <w:rPr>
          <w:rFonts w:hint="eastAsia" w:eastAsia="宋体"/>
          <w:sz w:val="24"/>
          <w:szCs w:val="21"/>
        </w:rPr>
        <w:t>由表4可知，35%组大口黑鲈亲鱼的HSI和MFI均显著高于50%和55%组(</w:t>
      </w:r>
      <w:r>
        <w:rPr>
          <w:rFonts w:hint="default" w:ascii="Times New Roman Italic" w:hAnsi="Times New Roman Italic" w:eastAsia="宋体" w:cs="Times New Roman Italic"/>
          <w:i/>
          <w:iCs/>
          <w:sz w:val="24"/>
          <w:szCs w:val="21"/>
        </w:rPr>
        <w:t>P</w:t>
      </w:r>
      <w:r>
        <w:rPr>
          <w:rFonts w:hint="eastAsia" w:eastAsia="宋体"/>
          <w:sz w:val="24"/>
          <w:szCs w:val="21"/>
        </w:rPr>
        <w:t>&lt;0.05),与40%和45%组无显著差异(P&gt;0.05);饲料蛋白质水平对大口黑鲈亲鱼的VSI无显著影响(</w:t>
      </w:r>
      <w:r>
        <w:rPr>
          <w:rFonts w:hint="default" w:ascii="Times New Roman Italic" w:hAnsi="Times New Roman Italic" w:eastAsia="宋体" w:cs="Times New Roman Italic"/>
          <w:i/>
          <w:iCs/>
          <w:sz w:val="24"/>
          <w:szCs w:val="21"/>
        </w:rPr>
        <w:t>P</w:t>
      </w:r>
      <w:r>
        <w:rPr>
          <w:rFonts w:hint="eastAsia" w:eastAsia="宋体"/>
          <w:sz w:val="24"/>
          <w:szCs w:val="21"/>
        </w:rPr>
        <w:t>&gt;0.05)。</w:t>
      </w:r>
    </w:p>
    <w:p w14:paraId="1D2FBB0F">
      <w:pPr>
        <w:spacing w:line="360" w:lineRule="auto"/>
        <w:rPr>
          <w:rFonts w:hint="eastAsia"/>
          <w:sz w:val="24"/>
          <w:szCs w:val="21"/>
        </w:rPr>
      </w:pPr>
      <w:r>
        <w:drawing>
          <wp:anchor distT="0" distB="0" distL="114300" distR="114300" simplePos="0" relativeHeight="251681792" behindDoc="0" locked="0" layoutInCell="1" allowOverlap="1">
            <wp:simplePos x="0" y="0"/>
            <wp:positionH relativeFrom="column">
              <wp:posOffset>-62230</wp:posOffset>
            </wp:positionH>
            <wp:positionV relativeFrom="paragraph">
              <wp:posOffset>67945</wp:posOffset>
            </wp:positionV>
            <wp:extent cx="5968365" cy="1863725"/>
            <wp:effectExtent l="0" t="0" r="635" b="3175"/>
            <wp:wrapTopAndBottom/>
            <wp:docPr id="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7"/>
                    <pic:cNvPicPr>
                      <a:picLocks noChangeAspect="1"/>
                    </pic:cNvPicPr>
                  </pic:nvPicPr>
                  <pic:blipFill>
                    <a:blip r:embed="rId23"/>
                    <a:stretch>
                      <a:fillRect/>
                    </a:stretch>
                  </pic:blipFill>
                  <pic:spPr>
                    <a:xfrm>
                      <a:off x="0" y="0"/>
                      <a:ext cx="5968365" cy="1863725"/>
                    </a:xfrm>
                    <a:prstGeom prst="rect">
                      <a:avLst/>
                    </a:prstGeom>
                    <a:noFill/>
                    <a:ln>
                      <a:noFill/>
                    </a:ln>
                  </pic:spPr>
                </pic:pic>
              </a:graphicData>
            </a:graphic>
          </wp:anchor>
        </w:drawing>
      </w:r>
    </w:p>
    <w:p w14:paraId="41D61E2A">
      <w:pPr>
        <w:spacing w:line="360" w:lineRule="auto"/>
        <w:ind w:firstLine="480" w:firstLineChars="200"/>
        <w:rPr>
          <w:rFonts w:hint="eastAsia" w:eastAsia="宋体"/>
          <w:sz w:val="24"/>
          <w:szCs w:val="21"/>
        </w:rPr>
      </w:pPr>
      <w:r>
        <w:rPr>
          <w:rFonts w:hint="eastAsia" w:eastAsia="宋体"/>
          <w:sz w:val="24"/>
          <w:szCs w:val="21"/>
        </w:rPr>
        <w:t>2.3饲料蛋白质水平对大口黑鲈雌性亲鱼产卵后肝脏和卵巢中免疫指标的影响</w:t>
      </w:r>
    </w:p>
    <w:p w14:paraId="2597DC96">
      <w:pPr>
        <w:spacing w:line="360" w:lineRule="auto"/>
        <w:ind w:firstLine="480" w:firstLineChars="200"/>
        <w:rPr>
          <w:rFonts w:hint="eastAsia"/>
          <w:sz w:val="24"/>
          <w:szCs w:val="21"/>
        </w:rPr>
      </w:pPr>
      <w:r>
        <w:rPr>
          <w:rFonts w:hint="eastAsia"/>
          <w:sz w:val="24"/>
          <w:szCs w:val="21"/>
        </w:rPr>
        <w:t>由表6可知，在肝脏中，35%组LZM活性显著低于50%和55%组(</w:t>
      </w:r>
      <w:r>
        <w:rPr>
          <w:rFonts w:hint="default" w:ascii="Times New Roman Italic" w:hAnsi="Times New Roman Italic" w:cs="Times New Roman Italic"/>
          <w:i/>
          <w:iCs/>
          <w:sz w:val="24"/>
          <w:szCs w:val="21"/>
        </w:rPr>
        <w:t>P</w:t>
      </w:r>
      <w:r>
        <w:rPr>
          <w:rFonts w:hint="eastAsia"/>
          <w:sz w:val="24"/>
          <w:szCs w:val="21"/>
        </w:rPr>
        <w:t>&lt;0.05),ACP活性显著高于其他各组(</w:t>
      </w:r>
      <w:r>
        <w:rPr>
          <w:rFonts w:hint="default" w:ascii="Times New Roman Italic" w:hAnsi="Times New Roman Italic" w:cs="Times New Roman Italic"/>
          <w:i/>
          <w:iCs/>
          <w:sz w:val="24"/>
          <w:szCs w:val="21"/>
        </w:rPr>
        <w:t>P</w:t>
      </w:r>
      <w:r>
        <w:rPr>
          <w:rFonts w:hint="eastAsia"/>
          <w:sz w:val="24"/>
          <w:szCs w:val="21"/>
        </w:rPr>
        <w:t>&lt;0.05),AKP活性显著高于40%和55%组(</w:t>
      </w:r>
      <w:r>
        <w:rPr>
          <w:rFonts w:hint="default" w:ascii="Times New Roman Italic" w:hAnsi="Times New Roman Italic" w:cs="Times New Roman Italic"/>
          <w:i/>
          <w:iCs/>
          <w:sz w:val="24"/>
          <w:szCs w:val="21"/>
        </w:rPr>
        <w:t>P</w:t>
      </w:r>
      <w:r>
        <w:rPr>
          <w:rFonts w:hint="eastAsia"/>
          <w:sz w:val="24"/>
          <w:szCs w:val="21"/>
        </w:rPr>
        <w:t>&lt;0.05);随着蛋白质水平升高，IgM含量呈先上升再下降的趋势，以45%组最高，显著高于其他各组(</w:t>
      </w:r>
      <w:r>
        <w:rPr>
          <w:rFonts w:hint="default" w:ascii="Times New Roman Italic" w:hAnsi="Times New Roman Italic" w:cs="Times New Roman Italic"/>
          <w:i/>
          <w:iCs/>
          <w:sz w:val="24"/>
          <w:szCs w:val="21"/>
        </w:rPr>
        <w:t>P</w:t>
      </w:r>
      <w:r>
        <w:rPr>
          <w:rFonts w:hint="eastAsia"/>
          <w:sz w:val="24"/>
          <w:szCs w:val="21"/>
        </w:rPr>
        <w:t>&lt;0.05)。在卵巢中，45%组LZM活性和IgM含量最高，显著高于其他各组(</w:t>
      </w:r>
      <w:r>
        <w:rPr>
          <w:rFonts w:hint="default" w:ascii="Times New Roman Italic" w:hAnsi="Times New Roman Italic" w:cs="Times New Roman Italic"/>
          <w:i/>
          <w:iCs/>
          <w:sz w:val="24"/>
          <w:szCs w:val="21"/>
        </w:rPr>
        <w:t>P</w:t>
      </w:r>
      <w:r>
        <w:rPr>
          <w:rFonts w:hint="eastAsia"/>
          <w:sz w:val="24"/>
          <w:szCs w:val="21"/>
        </w:rPr>
        <w:t>&lt;0.05);35%组ACP活性显著高于其他各组(</w:t>
      </w:r>
      <w:r>
        <w:rPr>
          <w:rFonts w:hint="default" w:ascii="Times New Roman Italic" w:hAnsi="Times New Roman Italic" w:cs="Times New Roman Italic"/>
          <w:i/>
          <w:iCs/>
          <w:sz w:val="24"/>
          <w:szCs w:val="21"/>
        </w:rPr>
        <w:t>P</w:t>
      </w:r>
      <w:r>
        <w:rPr>
          <w:rFonts w:hint="eastAsia"/>
          <w:sz w:val="24"/>
          <w:szCs w:val="21"/>
        </w:rPr>
        <w:t>&lt;0.05);随着饲料蛋白质水平的升高，AKP活性持续降低，55%组显著低于35%、40%、45%和50%组(</w:t>
      </w:r>
      <w:r>
        <w:rPr>
          <w:rFonts w:hint="default" w:ascii="Times New Roman Italic" w:hAnsi="Times New Roman Italic" w:cs="Times New Roman Italic"/>
          <w:i/>
          <w:iCs/>
          <w:sz w:val="24"/>
          <w:szCs w:val="21"/>
        </w:rPr>
        <w:t>P</w:t>
      </w:r>
      <w:r>
        <w:rPr>
          <w:rFonts w:hint="eastAsia"/>
          <w:sz w:val="24"/>
          <w:szCs w:val="21"/>
        </w:rPr>
        <w:t>&gt;0.05)。</w:t>
      </w:r>
    </w:p>
    <w:p w14:paraId="6BBB226F">
      <w:pPr>
        <w:spacing w:line="360" w:lineRule="auto"/>
        <w:ind w:firstLine="480" w:firstLineChars="200"/>
        <w:rPr>
          <w:rFonts w:hint="eastAsia" w:eastAsia="宋体"/>
          <w:sz w:val="24"/>
          <w:szCs w:val="21"/>
        </w:rPr>
      </w:pPr>
      <w:r>
        <w:rPr>
          <w:rFonts w:hint="eastAsia" w:eastAsia="宋体"/>
          <w:sz w:val="24"/>
          <w:szCs w:val="21"/>
        </w:rPr>
        <w:t>2.4饲料蛋白质水平对大口黑鲈雌性亲鱼产卵后肝脏和卵巢中抗氧化相关基因表达的影响</w:t>
      </w:r>
    </w:p>
    <w:p w14:paraId="553917A4">
      <w:pPr>
        <w:spacing w:line="360" w:lineRule="auto"/>
        <w:ind w:firstLine="480" w:firstLineChars="200"/>
        <w:rPr>
          <w:rFonts w:hint="eastAsia"/>
          <w:sz w:val="24"/>
          <w:szCs w:val="21"/>
        </w:rPr>
      </w:pPr>
      <w:r>
        <w:rPr>
          <w:rFonts w:hint="eastAsia"/>
          <w:sz w:val="24"/>
          <w:szCs w:val="21"/>
        </w:rPr>
        <w:t>饲料蛋白质水平对大口黑鲈雌性亲鱼产卵后肝脏中抗氧化相关基因表达的影响如图1所示。55%组SOD1的mRNA相对表达量最高，显著高于其他各组(</w:t>
      </w:r>
      <w:r>
        <w:rPr>
          <w:rFonts w:hint="default" w:ascii="Times New Roman Italic" w:hAnsi="Times New Roman Italic" w:cs="Times New Roman Italic"/>
          <w:i/>
          <w:iCs/>
          <w:sz w:val="24"/>
          <w:szCs w:val="21"/>
        </w:rPr>
        <w:t>P</w:t>
      </w:r>
      <w:r>
        <w:rPr>
          <w:rFonts w:hint="eastAsia"/>
          <w:sz w:val="24"/>
          <w:szCs w:val="21"/>
        </w:rPr>
        <w:t>&lt;0.05);35%组GST和Cu/ZnSOD的mRNA相对表达量最低，其中GST的mRNA相对表达量显著低于40%、45%和50%组(</w:t>
      </w:r>
      <w:r>
        <w:rPr>
          <w:rFonts w:hint="default" w:ascii="Times New Roman Italic" w:hAnsi="Times New Roman Italic" w:cs="Times New Roman Italic"/>
          <w:i/>
          <w:iCs/>
          <w:sz w:val="24"/>
          <w:szCs w:val="21"/>
        </w:rPr>
        <w:t>P</w:t>
      </w:r>
      <w:r>
        <w:rPr>
          <w:rFonts w:hint="eastAsia"/>
          <w:sz w:val="24"/>
          <w:szCs w:val="21"/>
        </w:rPr>
        <w:t>&lt;0.05),Cu/ZnSOD的mRNA相对表达量显著低于55%组(</w:t>
      </w:r>
      <w:r>
        <w:rPr>
          <w:rFonts w:hint="default" w:ascii="Times New Roman Italic" w:hAnsi="Times New Roman Italic" w:cs="Times New Roman Italic"/>
          <w:i/>
          <w:iCs/>
          <w:sz w:val="24"/>
          <w:szCs w:val="21"/>
        </w:rPr>
        <w:t>P</w:t>
      </w:r>
      <w:r>
        <w:rPr>
          <w:rFonts w:hint="eastAsia"/>
          <w:sz w:val="24"/>
          <w:szCs w:val="21"/>
        </w:rPr>
        <w:t>&lt;0.05);45%和55%组Mn⁃SOD的mRNA相对表达量显著高于35%组(</w:t>
      </w:r>
      <w:r>
        <w:rPr>
          <w:rFonts w:hint="default" w:ascii="Times New Roman Italic" w:hAnsi="Times New Roman Italic" w:cs="Times New Roman Italic"/>
          <w:i/>
          <w:iCs/>
          <w:sz w:val="24"/>
          <w:szCs w:val="21"/>
        </w:rPr>
        <w:t>P</w:t>
      </w:r>
      <w:r>
        <w:rPr>
          <w:rFonts w:hint="eastAsia"/>
          <w:sz w:val="24"/>
          <w:szCs w:val="21"/>
        </w:rPr>
        <w:t>&lt;0.05);饲料蛋白质水平对CAT、SOD3和GPx的mRNA相对表达量无显著影响(</w:t>
      </w:r>
      <w:r>
        <w:rPr>
          <w:rFonts w:hint="default" w:ascii="Times New Roman Italic" w:hAnsi="Times New Roman Italic" w:cs="Times New Roman Italic"/>
          <w:i/>
          <w:iCs/>
          <w:sz w:val="24"/>
          <w:szCs w:val="21"/>
        </w:rPr>
        <w:t>P</w:t>
      </w:r>
      <w:r>
        <w:rPr>
          <w:rFonts w:hint="eastAsia"/>
          <w:sz w:val="24"/>
          <w:szCs w:val="21"/>
        </w:rPr>
        <w:t>&gt;0.05)。</w:t>
      </w:r>
    </w:p>
    <w:p w14:paraId="4D281952">
      <w:pPr>
        <w:spacing w:line="360" w:lineRule="auto"/>
        <w:ind w:firstLine="480" w:firstLineChars="200"/>
        <w:rPr>
          <w:rFonts w:hint="eastAsia"/>
          <w:sz w:val="24"/>
          <w:szCs w:val="21"/>
        </w:rPr>
      </w:pPr>
    </w:p>
    <w:p w14:paraId="3B782F27">
      <w:pPr>
        <w:spacing w:line="360" w:lineRule="auto"/>
        <w:ind w:firstLine="420" w:firstLineChars="200"/>
        <w:rPr>
          <w:rFonts w:hint="eastAsia"/>
          <w:sz w:val="24"/>
          <w:szCs w:val="21"/>
        </w:rPr>
      </w:pPr>
      <w:r>
        <w:drawing>
          <wp:anchor distT="0" distB="0" distL="114300" distR="114300" simplePos="0" relativeHeight="251683840" behindDoc="0" locked="0" layoutInCell="1" allowOverlap="1">
            <wp:simplePos x="0" y="0"/>
            <wp:positionH relativeFrom="column">
              <wp:posOffset>168275</wp:posOffset>
            </wp:positionH>
            <wp:positionV relativeFrom="paragraph">
              <wp:posOffset>4214495</wp:posOffset>
            </wp:positionV>
            <wp:extent cx="5968365" cy="2769235"/>
            <wp:effectExtent l="0" t="0" r="635" b="12065"/>
            <wp:wrapTopAndBottom/>
            <wp:docPr id="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9"/>
                    <pic:cNvPicPr>
                      <a:picLocks noChangeAspect="1"/>
                    </pic:cNvPicPr>
                  </pic:nvPicPr>
                  <pic:blipFill>
                    <a:blip r:embed="rId24"/>
                    <a:stretch>
                      <a:fillRect/>
                    </a:stretch>
                  </pic:blipFill>
                  <pic:spPr>
                    <a:xfrm>
                      <a:off x="0" y="0"/>
                      <a:ext cx="5968365" cy="2769235"/>
                    </a:xfrm>
                    <a:prstGeom prst="rect">
                      <a:avLst/>
                    </a:prstGeom>
                    <a:noFill/>
                    <a:ln>
                      <a:noFill/>
                    </a:ln>
                  </pic:spPr>
                </pic:pic>
              </a:graphicData>
            </a:graphic>
          </wp:anchor>
        </w:drawing>
      </w:r>
      <w:r>
        <w:drawing>
          <wp:anchor distT="0" distB="0" distL="114300" distR="114300" simplePos="0" relativeHeight="251682816" behindDoc="0" locked="0" layoutInCell="1" allowOverlap="1">
            <wp:simplePos x="0" y="0"/>
            <wp:positionH relativeFrom="column">
              <wp:posOffset>128905</wp:posOffset>
            </wp:positionH>
            <wp:positionV relativeFrom="paragraph">
              <wp:posOffset>35560</wp:posOffset>
            </wp:positionV>
            <wp:extent cx="5971540" cy="4079875"/>
            <wp:effectExtent l="0" t="0" r="10160" b="9525"/>
            <wp:wrapTopAndBottom/>
            <wp:docPr id="4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8"/>
                    <pic:cNvPicPr>
                      <a:picLocks noChangeAspect="1"/>
                    </pic:cNvPicPr>
                  </pic:nvPicPr>
                  <pic:blipFill>
                    <a:blip r:embed="rId25"/>
                    <a:stretch>
                      <a:fillRect/>
                    </a:stretch>
                  </pic:blipFill>
                  <pic:spPr>
                    <a:xfrm>
                      <a:off x="0" y="0"/>
                      <a:ext cx="5971540" cy="4079875"/>
                    </a:xfrm>
                    <a:prstGeom prst="rect">
                      <a:avLst/>
                    </a:prstGeom>
                    <a:noFill/>
                    <a:ln>
                      <a:noFill/>
                    </a:ln>
                  </pic:spPr>
                </pic:pic>
              </a:graphicData>
            </a:graphic>
          </wp:anchor>
        </w:drawing>
      </w:r>
    </w:p>
    <w:p w14:paraId="4413B893">
      <w:pPr>
        <w:spacing w:line="360" w:lineRule="auto"/>
        <w:rPr>
          <w:rFonts w:hint="eastAsia"/>
          <w:sz w:val="24"/>
          <w:szCs w:val="21"/>
        </w:rPr>
      </w:pPr>
    </w:p>
    <w:p w14:paraId="61C580B0">
      <w:pPr>
        <w:spacing w:line="360" w:lineRule="auto"/>
        <w:rPr>
          <w:rFonts w:hint="eastAsia"/>
          <w:sz w:val="24"/>
          <w:szCs w:val="21"/>
        </w:rPr>
      </w:pPr>
    </w:p>
    <w:p w14:paraId="6FC456C5">
      <w:pPr>
        <w:spacing w:line="360" w:lineRule="auto"/>
        <w:rPr>
          <w:rFonts w:hint="eastAsia"/>
          <w:sz w:val="24"/>
          <w:szCs w:val="21"/>
        </w:rPr>
      </w:pPr>
    </w:p>
    <w:p w14:paraId="5EF4F930">
      <w:pPr>
        <w:spacing w:line="360" w:lineRule="auto"/>
        <w:rPr>
          <w:rFonts w:hint="eastAsia"/>
          <w:sz w:val="24"/>
          <w:szCs w:val="21"/>
        </w:rPr>
      </w:pPr>
    </w:p>
    <w:p w14:paraId="0C762950">
      <w:pPr>
        <w:spacing w:line="360" w:lineRule="auto"/>
        <w:rPr>
          <w:rFonts w:hint="eastAsia"/>
          <w:sz w:val="24"/>
          <w:szCs w:val="21"/>
        </w:rPr>
      </w:pPr>
    </w:p>
    <w:p w14:paraId="251512D3">
      <w:pPr>
        <w:spacing w:line="360" w:lineRule="auto"/>
        <w:rPr>
          <w:rFonts w:hint="eastAsia"/>
          <w:sz w:val="24"/>
          <w:szCs w:val="21"/>
        </w:rPr>
      </w:pPr>
    </w:p>
    <w:p w14:paraId="2EB7008D">
      <w:pPr>
        <w:spacing w:line="360" w:lineRule="auto"/>
        <w:rPr>
          <w:rFonts w:hint="eastAsia"/>
          <w:sz w:val="24"/>
          <w:szCs w:val="21"/>
        </w:rPr>
      </w:pPr>
      <w:r>
        <w:drawing>
          <wp:anchor distT="0" distB="0" distL="114300" distR="114300" simplePos="0" relativeHeight="251684864" behindDoc="0" locked="0" layoutInCell="1" allowOverlap="1">
            <wp:simplePos x="0" y="0"/>
            <wp:positionH relativeFrom="column">
              <wp:posOffset>-167640</wp:posOffset>
            </wp:positionH>
            <wp:positionV relativeFrom="paragraph">
              <wp:posOffset>246380</wp:posOffset>
            </wp:positionV>
            <wp:extent cx="6234430" cy="6047740"/>
            <wp:effectExtent l="0" t="0" r="1270" b="10160"/>
            <wp:wrapTopAndBottom/>
            <wp:docPr id="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0"/>
                    <pic:cNvPicPr>
                      <a:picLocks noChangeAspect="1"/>
                    </pic:cNvPicPr>
                  </pic:nvPicPr>
                  <pic:blipFill>
                    <a:blip r:embed="rId26"/>
                    <a:stretch>
                      <a:fillRect/>
                    </a:stretch>
                  </pic:blipFill>
                  <pic:spPr>
                    <a:xfrm>
                      <a:off x="0" y="0"/>
                      <a:ext cx="6234430" cy="6047740"/>
                    </a:xfrm>
                    <a:prstGeom prst="rect">
                      <a:avLst/>
                    </a:prstGeom>
                    <a:noFill/>
                    <a:ln>
                      <a:noFill/>
                    </a:ln>
                  </pic:spPr>
                </pic:pic>
              </a:graphicData>
            </a:graphic>
          </wp:anchor>
        </w:drawing>
      </w:r>
    </w:p>
    <w:p w14:paraId="3C863929">
      <w:pPr>
        <w:spacing w:line="360" w:lineRule="auto"/>
        <w:rPr>
          <w:rFonts w:hint="eastAsia"/>
          <w:sz w:val="24"/>
          <w:szCs w:val="21"/>
        </w:rPr>
      </w:pPr>
    </w:p>
    <w:p w14:paraId="50FE4060">
      <w:pPr>
        <w:spacing w:line="360" w:lineRule="auto"/>
        <w:rPr>
          <w:rFonts w:hint="eastAsia"/>
          <w:sz w:val="24"/>
          <w:szCs w:val="21"/>
        </w:rPr>
      </w:pPr>
    </w:p>
    <w:p w14:paraId="59CDAA49">
      <w:pPr>
        <w:spacing w:line="360" w:lineRule="auto"/>
        <w:rPr>
          <w:rFonts w:hint="eastAsia"/>
          <w:sz w:val="24"/>
          <w:szCs w:val="21"/>
        </w:rPr>
      </w:pPr>
    </w:p>
    <w:p w14:paraId="79FC1929">
      <w:pPr>
        <w:spacing w:line="360" w:lineRule="auto"/>
        <w:rPr>
          <w:rFonts w:hint="eastAsia"/>
          <w:sz w:val="24"/>
          <w:szCs w:val="21"/>
        </w:rPr>
      </w:pPr>
    </w:p>
    <w:p w14:paraId="7F9ADCA0">
      <w:pPr>
        <w:spacing w:line="360" w:lineRule="auto"/>
        <w:rPr>
          <w:rFonts w:hint="eastAsia"/>
          <w:sz w:val="24"/>
          <w:szCs w:val="21"/>
        </w:rPr>
      </w:pPr>
    </w:p>
    <w:p w14:paraId="64AB7A77">
      <w:pPr>
        <w:spacing w:line="360" w:lineRule="auto"/>
        <w:rPr>
          <w:rFonts w:hint="eastAsia"/>
          <w:sz w:val="24"/>
          <w:szCs w:val="21"/>
        </w:rPr>
      </w:pPr>
    </w:p>
    <w:p w14:paraId="1F682749">
      <w:pPr>
        <w:spacing w:line="360" w:lineRule="auto"/>
        <w:ind w:firstLine="480" w:firstLineChars="200"/>
        <w:rPr>
          <w:rFonts w:hint="eastAsia"/>
          <w:sz w:val="24"/>
          <w:szCs w:val="21"/>
        </w:rPr>
      </w:pPr>
      <w:r>
        <w:rPr>
          <w:rFonts w:hint="eastAsia"/>
          <w:sz w:val="24"/>
          <w:szCs w:val="21"/>
        </w:rPr>
        <w:t>饲料蛋白质水平对大口黑鲈雌性亲鱼产卵后卵巢中抗氧化相关基因表达的影响如图2所示。饲料蛋白质水平对CAT、SOD3、GST和GPx的mRNA相对表达量没有显著影响(</w:t>
      </w:r>
      <w:r>
        <w:rPr>
          <w:rFonts w:hint="default" w:ascii="Times New Roman Italic" w:hAnsi="Times New Roman Italic" w:cs="Times New Roman Italic"/>
          <w:i/>
          <w:iCs/>
          <w:sz w:val="24"/>
          <w:szCs w:val="21"/>
        </w:rPr>
        <w:t>P</w:t>
      </w:r>
      <w:r>
        <w:rPr>
          <w:rFonts w:hint="eastAsia"/>
          <w:sz w:val="24"/>
          <w:szCs w:val="21"/>
        </w:rPr>
        <w:t>&gt;0.05);45%组SOD1的mRNA相对表达量显著高于35%、40%和55%组(</w:t>
      </w:r>
      <w:r>
        <w:rPr>
          <w:rFonts w:hint="default" w:ascii="Times New Roman Italic" w:hAnsi="Times New Roman Italic" w:cs="Times New Roman Italic"/>
          <w:i/>
          <w:iCs/>
          <w:sz w:val="24"/>
          <w:szCs w:val="21"/>
        </w:rPr>
        <w:t>P</w:t>
      </w:r>
      <w:r>
        <w:rPr>
          <w:rFonts w:hint="eastAsia"/>
          <w:sz w:val="24"/>
          <w:szCs w:val="21"/>
        </w:rPr>
        <w:t>&lt;0.05),但45%和50%组之间没有显著差异(</w:t>
      </w:r>
      <w:r>
        <w:rPr>
          <w:rFonts w:hint="default" w:ascii="Times New Roman Italic" w:hAnsi="Times New Roman Italic" w:cs="Times New Roman Italic"/>
          <w:i/>
          <w:iCs/>
          <w:sz w:val="24"/>
          <w:szCs w:val="21"/>
        </w:rPr>
        <w:t>P</w:t>
      </w:r>
      <w:r>
        <w:rPr>
          <w:rFonts w:hint="eastAsia"/>
          <w:sz w:val="24"/>
          <w:szCs w:val="21"/>
        </w:rPr>
        <w:t>&gt;0.05);45%组Cu/Zn</w:t>
      </w:r>
      <w:r>
        <w:rPr>
          <w:rFonts w:hint="eastAsia"/>
          <w:sz w:val="24"/>
          <w:szCs w:val="21"/>
          <w:lang w:val="en-US" w:eastAsia="zh-CN"/>
        </w:rPr>
        <w:t xml:space="preserve"> </w:t>
      </w:r>
      <w:r>
        <w:rPr>
          <w:rFonts w:hint="eastAsia"/>
          <w:sz w:val="24"/>
          <w:szCs w:val="21"/>
        </w:rPr>
        <w:t>SOD的mRNA相对表达量最高，显著高于其他各组(</w:t>
      </w:r>
      <w:r>
        <w:rPr>
          <w:rFonts w:hint="default" w:ascii="Times New Roman Italic" w:hAnsi="Times New Roman Italic" w:cs="Times New Roman Italic"/>
          <w:i/>
          <w:iCs/>
          <w:sz w:val="24"/>
          <w:szCs w:val="21"/>
        </w:rPr>
        <w:t>P</w:t>
      </w:r>
      <w:r>
        <w:rPr>
          <w:rFonts w:hint="eastAsia"/>
          <w:sz w:val="24"/>
          <w:szCs w:val="21"/>
        </w:rPr>
        <w:t>&lt;0.05);45%、50%和55%组Mn⁃SOD的mRNA相对表达量差异不显著(</w:t>
      </w:r>
      <w:r>
        <w:rPr>
          <w:rFonts w:hint="default" w:ascii="Times New Roman Italic" w:hAnsi="Times New Roman Italic" w:cs="Times New Roman Italic"/>
          <w:i/>
          <w:iCs/>
          <w:sz w:val="24"/>
          <w:szCs w:val="21"/>
        </w:rPr>
        <w:t>P</w:t>
      </w:r>
      <w:r>
        <w:rPr>
          <w:rFonts w:hint="eastAsia"/>
          <w:sz w:val="24"/>
          <w:szCs w:val="21"/>
        </w:rPr>
        <w:t>&gt;0.05),但均显著高于35%和40%组(</w:t>
      </w:r>
      <w:r>
        <w:rPr>
          <w:rFonts w:hint="default" w:ascii="Times New Roman Italic" w:hAnsi="Times New Roman Italic" w:cs="Times New Roman Italic"/>
          <w:i/>
          <w:iCs/>
          <w:sz w:val="24"/>
          <w:szCs w:val="21"/>
        </w:rPr>
        <w:t>P</w:t>
      </w:r>
      <w:r>
        <w:rPr>
          <w:rFonts w:hint="eastAsia"/>
          <w:sz w:val="24"/>
          <w:szCs w:val="21"/>
        </w:rPr>
        <w:t>&lt;0.05)。</w:t>
      </w:r>
    </w:p>
    <w:p w14:paraId="540F8A82">
      <w:pPr>
        <w:spacing w:line="360" w:lineRule="auto"/>
        <w:ind w:firstLine="480" w:firstLineChars="200"/>
        <w:rPr>
          <w:rFonts w:hint="eastAsia" w:eastAsia="宋体"/>
          <w:sz w:val="24"/>
          <w:szCs w:val="21"/>
        </w:rPr>
      </w:pPr>
      <w:r>
        <w:rPr>
          <w:rFonts w:hint="eastAsia" w:eastAsia="宋体"/>
          <w:sz w:val="24"/>
          <w:szCs w:val="21"/>
        </w:rPr>
        <w:t>2.5饲料蛋白质水平对大口黑鲈雌性亲鱼产卵后肝脏和卵巢中免疫相关基因表达的影响</w:t>
      </w:r>
    </w:p>
    <w:p w14:paraId="79EC2C2B">
      <w:pPr>
        <w:spacing w:line="360" w:lineRule="auto"/>
        <w:ind w:firstLine="480" w:firstLineChars="200"/>
        <w:rPr>
          <w:rFonts w:hint="eastAsia"/>
          <w:sz w:val="24"/>
          <w:szCs w:val="21"/>
        </w:rPr>
      </w:pPr>
      <w:r>
        <w:rPr>
          <w:rFonts w:hint="eastAsia"/>
          <w:sz w:val="24"/>
          <w:szCs w:val="21"/>
        </w:rPr>
        <w:t>饲料蛋白质水平对大口黑鲈雌性亲鱼产卵后肝脏中免疫相关基因表达的影响如图3所示。35%组IL1β和TNFα的mRNA相对表达量最高，其中IL1β的mRNA相对表达量显著高于其他各组(</w:t>
      </w:r>
      <w:r>
        <w:rPr>
          <w:rFonts w:hint="default" w:ascii="Times New Roman Italic" w:hAnsi="Times New Roman Italic" w:cs="Times New Roman Italic"/>
          <w:i/>
          <w:iCs/>
          <w:sz w:val="24"/>
          <w:szCs w:val="21"/>
        </w:rPr>
        <w:t>P</w:t>
      </w:r>
      <w:r>
        <w:rPr>
          <w:rFonts w:hint="eastAsia"/>
          <w:sz w:val="24"/>
          <w:szCs w:val="21"/>
        </w:rPr>
        <w:t>&lt;0.05),TNFα的mRNA相对表达量显著高于45%、50%和55%组(</w:t>
      </w:r>
      <w:r>
        <w:rPr>
          <w:rFonts w:hint="default" w:ascii="Times New Roman Italic" w:hAnsi="Times New Roman Italic" w:cs="Times New Roman Italic"/>
          <w:i/>
          <w:iCs/>
          <w:sz w:val="24"/>
          <w:szCs w:val="21"/>
        </w:rPr>
        <w:t>P</w:t>
      </w:r>
      <w:r>
        <w:rPr>
          <w:rFonts w:hint="eastAsia"/>
          <w:sz w:val="24"/>
          <w:szCs w:val="21"/>
        </w:rPr>
        <w:t>&lt;0.05);55%组HSP70的mRNA相对表达量最高，显著高于35%、40%和45%组(</w:t>
      </w:r>
      <w:r>
        <w:rPr>
          <w:rFonts w:hint="default" w:ascii="Times New Roman Italic" w:hAnsi="Times New Roman Italic" w:cs="Times New Roman Italic"/>
          <w:i/>
          <w:iCs/>
          <w:sz w:val="24"/>
          <w:szCs w:val="21"/>
        </w:rPr>
        <w:t>P</w:t>
      </w:r>
      <w:r>
        <w:rPr>
          <w:rFonts w:hint="eastAsia"/>
          <w:sz w:val="24"/>
          <w:szCs w:val="21"/>
        </w:rPr>
        <w:t>&lt;0.05);55%组LZM的mRNA相对表达量显著高于45%组(</w:t>
      </w:r>
      <w:r>
        <w:rPr>
          <w:rFonts w:hint="default" w:ascii="Times New Roman Italic" w:hAnsi="Times New Roman Italic" w:cs="Times New Roman Italic"/>
          <w:i/>
          <w:iCs/>
          <w:sz w:val="24"/>
          <w:szCs w:val="21"/>
        </w:rPr>
        <w:t>P</w:t>
      </w:r>
      <w:r>
        <w:rPr>
          <w:rFonts w:hint="eastAsia"/>
          <w:sz w:val="24"/>
          <w:szCs w:val="21"/>
        </w:rPr>
        <w:t>&lt;0.05),与其他3组无显著差异(</w:t>
      </w:r>
      <w:r>
        <w:rPr>
          <w:rFonts w:hint="default" w:ascii="Times New Roman Italic" w:hAnsi="Times New Roman Italic" w:cs="Times New Roman Italic"/>
          <w:i/>
          <w:iCs/>
          <w:sz w:val="24"/>
          <w:szCs w:val="21"/>
        </w:rPr>
        <w:t>P</w:t>
      </w:r>
      <w:r>
        <w:rPr>
          <w:rFonts w:hint="eastAsia"/>
          <w:sz w:val="24"/>
          <w:szCs w:val="21"/>
        </w:rPr>
        <w:t>&gt;0.05);40%和45%组TLR3的mRNA相对表达量显著高于35%和55%组(</w:t>
      </w:r>
      <w:r>
        <w:rPr>
          <w:rFonts w:hint="default" w:ascii="Times New Roman Italic" w:hAnsi="Times New Roman Italic" w:cs="Times New Roman Italic"/>
          <w:i/>
          <w:iCs/>
          <w:sz w:val="24"/>
          <w:szCs w:val="21"/>
        </w:rPr>
        <w:t>P</w:t>
      </w:r>
      <w:r>
        <w:rPr>
          <w:rFonts w:hint="eastAsia"/>
          <w:sz w:val="24"/>
          <w:szCs w:val="21"/>
        </w:rPr>
        <w:t>&lt;0.05);45%和55%组IgM的mRNA相对表达量显著高于35%、40%和50%组(</w:t>
      </w:r>
      <w:r>
        <w:rPr>
          <w:rFonts w:hint="default" w:ascii="Times New Roman Italic" w:hAnsi="Times New Roman Italic" w:cs="Times New Roman Italic"/>
          <w:i/>
          <w:iCs/>
          <w:sz w:val="24"/>
          <w:szCs w:val="21"/>
        </w:rPr>
        <w:t>P</w:t>
      </w:r>
      <w:r>
        <w:rPr>
          <w:rFonts w:hint="eastAsia"/>
          <w:sz w:val="24"/>
          <w:szCs w:val="21"/>
        </w:rPr>
        <w:t>&lt;0.05);随着饲料蛋白质水平的升高，TLR2的mRNA相对表达量呈下降趋势，但各组之间的差异均未达到显著水平(</w:t>
      </w:r>
      <w:r>
        <w:rPr>
          <w:rFonts w:hint="default" w:ascii="Times New Roman Italic" w:hAnsi="Times New Roman Italic" w:cs="Times New Roman Italic"/>
          <w:i/>
          <w:iCs/>
          <w:sz w:val="24"/>
          <w:szCs w:val="21"/>
        </w:rPr>
        <w:t>P</w:t>
      </w:r>
      <w:r>
        <w:rPr>
          <w:rFonts w:hint="eastAsia"/>
          <w:sz w:val="24"/>
          <w:szCs w:val="21"/>
        </w:rPr>
        <w:t>&gt;0.05);此外，TLR1、TLR9、TGFβ3和IL8的mRNA相对表达量在各组之间均没有显著差异(</w:t>
      </w:r>
      <w:r>
        <w:rPr>
          <w:rFonts w:hint="default" w:ascii="Times New Roman Italic" w:hAnsi="Times New Roman Italic" w:cs="Times New Roman Italic"/>
          <w:i/>
          <w:iCs/>
          <w:sz w:val="24"/>
          <w:szCs w:val="21"/>
        </w:rPr>
        <w:t>P</w:t>
      </w:r>
      <w:r>
        <w:rPr>
          <w:rFonts w:hint="eastAsia"/>
          <w:sz w:val="24"/>
          <w:szCs w:val="21"/>
        </w:rPr>
        <w:t>&gt;0.05)。</w:t>
      </w:r>
    </w:p>
    <w:p w14:paraId="51BDA5A5">
      <w:pPr>
        <w:spacing w:line="360" w:lineRule="auto"/>
        <w:ind w:firstLine="480" w:firstLineChars="200"/>
        <w:rPr>
          <w:rFonts w:hint="eastAsia"/>
          <w:sz w:val="24"/>
          <w:szCs w:val="21"/>
        </w:rPr>
      </w:pPr>
      <w:r>
        <w:rPr>
          <w:rFonts w:hint="eastAsia"/>
          <w:sz w:val="24"/>
          <w:szCs w:val="21"/>
        </w:rPr>
        <w:t>饲料蛋白质水平对大口黑鲈雌性亲鱼产卵后卵巢中免疫相关基因表达的影响如图4所示。饲料蛋白质水平对TLR2、TLT3、TLR9和IL1β的mRNA相对表达量均无显著影响(</w:t>
      </w:r>
      <w:r>
        <w:rPr>
          <w:rFonts w:hint="default" w:ascii="Times New Roman Italic" w:hAnsi="Times New Roman Italic" w:cs="Times New Roman Italic"/>
          <w:i/>
          <w:iCs/>
          <w:sz w:val="24"/>
          <w:szCs w:val="21"/>
        </w:rPr>
        <w:t>P</w:t>
      </w:r>
      <w:r>
        <w:rPr>
          <w:rFonts w:hint="eastAsia"/>
          <w:sz w:val="24"/>
          <w:szCs w:val="21"/>
        </w:rPr>
        <w:t>&gt;0.05);45%组LZM的mRNA相对表达量显著高于40%、50%和55%组(</w:t>
      </w:r>
      <w:r>
        <w:rPr>
          <w:rFonts w:hint="default" w:ascii="Times New Roman Italic" w:hAnsi="Times New Roman Italic" w:cs="Times New Roman Italic"/>
          <w:i/>
          <w:iCs/>
          <w:sz w:val="24"/>
          <w:szCs w:val="21"/>
        </w:rPr>
        <w:t>P</w:t>
      </w:r>
      <w:r>
        <w:rPr>
          <w:rFonts w:hint="eastAsia"/>
          <w:sz w:val="24"/>
          <w:szCs w:val="21"/>
        </w:rPr>
        <w:t>&lt;0.05),与35%组无显著差异(</w:t>
      </w:r>
      <w:r>
        <w:rPr>
          <w:rFonts w:hint="default" w:ascii="Times New Roman Italic" w:hAnsi="Times New Roman Italic" w:cs="Times New Roman Italic"/>
          <w:i/>
          <w:iCs/>
          <w:sz w:val="24"/>
          <w:szCs w:val="21"/>
        </w:rPr>
        <w:t>P</w:t>
      </w:r>
      <w:r>
        <w:rPr>
          <w:rFonts w:hint="eastAsia"/>
          <w:sz w:val="24"/>
          <w:szCs w:val="21"/>
        </w:rPr>
        <w:t>&gt;0.05);45%组HSP70和TLR1的mRNA相对表达量最高，显著高于35%、40%和55%组(</w:t>
      </w:r>
      <w:r>
        <w:rPr>
          <w:rFonts w:hint="default" w:ascii="Times New Roman Italic" w:hAnsi="Times New Roman Italic" w:cs="Times New Roman Italic"/>
          <w:i/>
          <w:iCs/>
          <w:sz w:val="24"/>
          <w:szCs w:val="21"/>
        </w:rPr>
        <w:t>P</w:t>
      </w:r>
      <w:r>
        <w:rPr>
          <w:rFonts w:hint="eastAsia"/>
          <w:sz w:val="24"/>
          <w:szCs w:val="21"/>
        </w:rPr>
        <w:t>&lt;0.05),但与50%组无显著差异(</w:t>
      </w:r>
      <w:r>
        <w:rPr>
          <w:rFonts w:hint="default" w:ascii="Times New Roman Italic" w:hAnsi="Times New Roman Italic" w:cs="Times New Roman Italic"/>
          <w:i/>
          <w:iCs/>
          <w:sz w:val="24"/>
          <w:szCs w:val="21"/>
        </w:rPr>
        <w:t>P</w:t>
      </w:r>
      <w:r>
        <w:rPr>
          <w:rFonts w:hint="eastAsia"/>
          <w:sz w:val="24"/>
          <w:szCs w:val="21"/>
        </w:rPr>
        <w:t>&gt;0.05);40%组TGFβ3的mRNA相对表达量显著高于35%和55%组(</w:t>
      </w:r>
      <w:r>
        <w:rPr>
          <w:rFonts w:hint="default" w:ascii="Times New Roman Italic" w:hAnsi="Times New Roman Italic" w:cs="Times New Roman Italic"/>
          <w:i/>
          <w:iCs/>
          <w:sz w:val="24"/>
          <w:szCs w:val="21"/>
        </w:rPr>
        <w:t>P</w:t>
      </w:r>
      <w:r>
        <w:rPr>
          <w:rFonts w:hint="eastAsia"/>
          <w:sz w:val="24"/>
          <w:szCs w:val="21"/>
        </w:rPr>
        <w:t>&lt;0.05);50%组TNFα的mRNA相对表达量显著高于35%和55%组(</w:t>
      </w:r>
      <w:r>
        <w:rPr>
          <w:rFonts w:hint="default" w:ascii="Times New Roman Italic" w:hAnsi="Times New Roman Italic" w:cs="Times New Roman Italic"/>
          <w:i/>
          <w:iCs/>
          <w:sz w:val="24"/>
          <w:szCs w:val="21"/>
        </w:rPr>
        <w:t>P</w:t>
      </w:r>
      <w:r>
        <w:rPr>
          <w:rFonts w:hint="eastAsia"/>
          <w:sz w:val="24"/>
          <w:szCs w:val="21"/>
        </w:rPr>
        <w:t>&lt;0.05),其余4组之间则无显著差异(</w:t>
      </w:r>
      <w:r>
        <w:rPr>
          <w:rFonts w:hint="default" w:ascii="Times New Roman Italic" w:hAnsi="Times New Roman Italic" w:cs="Times New Roman Italic"/>
          <w:i/>
          <w:iCs/>
          <w:sz w:val="24"/>
          <w:szCs w:val="21"/>
        </w:rPr>
        <w:t>P</w:t>
      </w:r>
      <w:r>
        <w:rPr>
          <w:rFonts w:hint="eastAsia"/>
          <w:sz w:val="24"/>
          <w:szCs w:val="21"/>
        </w:rPr>
        <w:t>&gt;0.05);45%组IgM的mRNA相对表达量显著高于40%和50%组(</w:t>
      </w:r>
      <w:r>
        <w:rPr>
          <w:rFonts w:hint="default" w:ascii="Times New Roman Italic" w:hAnsi="Times New Roman Italic" w:cs="Times New Roman Italic"/>
          <w:i/>
          <w:iCs/>
          <w:sz w:val="24"/>
          <w:szCs w:val="21"/>
        </w:rPr>
        <w:t>P</w:t>
      </w:r>
      <w:r>
        <w:rPr>
          <w:rFonts w:hint="eastAsia"/>
          <w:sz w:val="24"/>
          <w:szCs w:val="21"/>
        </w:rPr>
        <w:t>&lt;0.05),但与35%和55%组没有显著差异(</w:t>
      </w:r>
      <w:r>
        <w:rPr>
          <w:rFonts w:hint="default" w:ascii="Times New Roman Italic" w:hAnsi="Times New Roman Italic" w:cs="Times New Roman Italic"/>
          <w:i/>
          <w:iCs/>
          <w:sz w:val="24"/>
          <w:szCs w:val="21"/>
        </w:rPr>
        <w:t>P</w:t>
      </w:r>
      <w:r>
        <w:rPr>
          <w:rFonts w:hint="eastAsia"/>
          <w:sz w:val="24"/>
          <w:szCs w:val="21"/>
        </w:rPr>
        <w:t>&gt;0.05);50%组IL8的mRNA相对表达量显著高于35%组(</w:t>
      </w:r>
      <w:r>
        <w:rPr>
          <w:rFonts w:hint="default" w:ascii="Times New Roman Italic" w:hAnsi="Times New Roman Italic" w:cs="Times New Roman Italic"/>
          <w:i/>
          <w:iCs/>
          <w:sz w:val="24"/>
          <w:szCs w:val="21"/>
        </w:rPr>
        <w:t>P</w:t>
      </w:r>
      <w:r>
        <w:rPr>
          <w:rFonts w:hint="eastAsia"/>
          <w:sz w:val="24"/>
          <w:szCs w:val="21"/>
        </w:rPr>
        <w:t>&lt;0.05),其他各组之间没有显著差异(</w:t>
      </w:r>
      <w:r>
        <w:rPr>
          <w:rFonts w:hint="default" w:ascii="Times New Roman Italic" w:hAnsi="Times New Roman Italic" w:cs="Times New Roman Italic"/>
          <w:i/>
          <w:iCs/>
          <w:sz w:val="24"/>
          <w:szCs w:val="21"/>
        </w:rPr>
        <w:t>P</w:t>
      </w:r>
      <w:r>
        <w:rPr>
          <w:rFonts w:hint="eastAsia"/>
          <w:sz w:val="24"/>
          <w:szCs w:val="21"/>
        </w:rPr>
        <w:t>&gt;0.05)。</w:t>
      </w:r>
    </w:p>
    <w:p w14:paraId="143ABB9A">
      <w:pPr>
        <w:spacing w:line="360" w:lineRule="auto"/>
        <w:ind w:firstLine="480" w:firstLineChars="200"/>
        <w:rPr>
          <w:rFonts w:hint="eastAsia"/>
          <w:sz w:val="24"/>
          <w:szCs w:val="21"/>
        </w:rPr>
      </w:pPr>
    </w:p>
    <w:p w14:paraId="464712DD">
      <w:pPr>
        <w:spacing w:line="360" w:lineRule="auto"/>
        <w:ind w:firstLine="480" w:firstLineChars="200"/>
        <w:rPr>
          <w:rFonts w:hint="eastAsia"/>
          <w:sz w:val="24"/>
          <w:szCs w:val="21"/>
        </w:rPr>
      </w:pPr>
    </w:p>
    <w:p w14:paraId="490AD355">
      <w:pPr>
        <w:spacing w:line="360" w:lineRule="auto"/>
        <w:ind w:firstLine="420" w:firstLineChars="200"/>
        <w:rPr>
          <w:rFonts w:hint="eastAsia"/>
          <w:sz w:val="24"/>
          <w:szCs w:val="21"/>
        </w:rPr>
      </w:pPr>
      <w:r>
        <w:drawing>
          <wp:anchor distT="0" distB="0" distL="114300" distR="114300" simplePos="0" relativeHeight="251685888" behindDoc="0" locked="0" layoutInCell="1" allowOverlap="1">
            <wp:simplePos x="0" y="0"/>
            <wp:positionH relativeFrom="column">
              <wp:posOffset>266700</wp:posOffset>
            </wp:positionH>
            <wp:positionV relativeFrom="paragraph">
              <wp:posOffset>288290</wp:posOffset>
            </wp:positionV>
            <wp:extent cx="5972175" cy="5624195"/>
            <wp:effectExtent l="0" t="0" r="9525" b="1905"/>
            <wp:wrapTopAndBottom/>
            <wp:docPr id="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1"/>
                    <pic:cNvPicPr>
                      <a:picLocks noChangeAspect="1"/>
                    </pic:cNvPicPr>
                  </pic:nvPicPr>
                  <pic:blipFill>
                    <a:blip r:embed="rId27"/>
                    <a:stretch>
                      <a:fillRect/>
                    </a:stretch>
                  </pic:blipFill>
                  <pic:spPr>
                    <a:xfrm>
                      <a:off x="0" y="0"/>
                      <a:ext cx="5972175" cy="5624195"/>
                    </a:xfrm>
                    <a:prstGeom prst="rect">
                      <a:avLst/>
                    </a:prstGeom>
                    <a:noFill/>
                    <a:ln>
                      <a:noFill/>
                    </a:ln>
                  </pic:spPr>
                </pic:pic>
              </a:graphicData>
            </a:graphic>
          </wp:anchor>
        </w:drawing>
      </w:r>
    </w:p>
    <w:p w14:paraId="3D67F9D8">
      <w:pPr>
        <w:spacing w:line="360" w:lineRule="auto"/>
        <w:ind w:firstLine="480" w:firstLineChars="200"/>
        <w:rPr>
          <w:rFonts w:hint="eastAsia"/>
          <w:sz w:val="24"/>
          <w:szCs w:val="21"/>
        </w:rPr>
      </w:pPr>
    </w:p>
    <w:p w14:paraId="03927213">
      <w:pPr>
        <w:spacing w:line="360" w:lineRule="auto"/>
        <w:ind w:firstLine="480" w:firstLineChars="200"/>
        <w:rPr>
          <w:rFonts w:hint="eastAsia"/>
          <w:sz w:val="24"/>
          <w:szCs w:val="21"/>
        </w:rPr>
      </w:pPr>
    </w:p>
    <w:p w14:paraId="61BB5C42">
      <w:pPr>
        <w:spacing w:line="360" w:lineRule="auto"/>
        <w:ind w:firstLine="480" w:firstLineChars="200"/>
        <w:rPr>
          <w:rFonts w:hint="eastAsia"/>
          <w:sz w:val="24"/>
          <w:szCs w:val="21"/>
        </w:rPr>
      </w:pPr>
    </w:p>
    <w:p w14:paraId="68776379">
      <w:pPr>
        <w:spacing w:line="360" w:lineRule="auto"/>
        <w:ind w:firstLine="480" w:firstLineChars="200"/>
        <w:rPr>
          <w:rFonts w:hint="eastAsia"/>
          <w:sz w:val="24"/>
          <w:szCs w:val="21"/>
        </w:rPr>
      </w:pPr>
    </w:p>
    <w:p w14:paraId="3CD3C8A2">
      <w:pPr>
        <w:spacing w:line="360" w:lineRule="auto"/>
        <w:ind w:firstLine="480" w:firstLineChars="200"/>
        <w:rPr>
          <w:rFonts w:hint="eastAsia"/>
          <w:sz w:val="24"/>
          <w:szCs w:val="21"/>
        </w:rPr>
      </w:pPr>
    </w:p>
    <w:p w14:paraId="42448C89">
      <w:pPr>
        <w:spacing w:line="360" w:lineRule="auto"/>
        <w:ind w:firstLine="480" w:firstLineChars="200"/>
        <w:rPr>
          <w:rFonts w:hint="eastAsia"/>
          <w:sz w:val="24"/>
          <w:szCs w:val="21"/>
        </w:rPr>
      </w:pPr>
    </w:p>
    <w:p w14:paraId="3777DE64">
      <w:pPr>
        <w:spacing w:line="360" w:lineRule="auto"/>
        <w:ind w:firstLine="480" w:firstLineChars="200"/>
        <w:rPr>
          <w:rFonts w:hint="eastAsia"/>
          <w:sz w:val="24"/>
          <w:szCs w:val="21"/>
        </w:rPr>
      </w:pPr>
    </w:p>
    <w:p w14:paraId="0C881B3C">
      <w:pPr>
        <w:spacing w:line="360" w:lineRule="auto"/>
        <w:ind w:firstLine="480" w:firstLineChars="200"/>
        <w:rPr>
          <w:rFonts w:hint="eastAsia"/>
          <w:sz w:val="24"/>
          <w:szCs w:val="21"/>
        </w:rPr>
      </w:pPr>
    </w:p>
    <w:p w14:paraId="140634A2">
      <w:pPr>
        <w:spacing w:line="360" w:lineRule="auto"/>
        <w:ind w:firstLine="480" w:firstLineChars="200"/>
        <w:rPr>
          <w:rFonts w:hint="eastAsia"/>
          <w:sz w:val="24"/>
          <w:szCs w:val="21"/>
        </w:rPr>
      </w:pPr>
    </w:p>
    <w:p w14:paraId="1EF9F689">
      <w:pPr>
        <w:spacing w:line="360" w:lineRule="auto"/>
        <w:ind w:firstLine="480" w:firstLineChars="200"/>
        <w:rPr>
          <w:rFonts w:hint="eastAsia"/>
          <w:sz w:val="24"/>
          <w:szCs w:val="21"/>
        </w:rPr>
      </w:pPr>
    </w:p>
    <w:p w14:paraId="2DCDC86B">
      <w:pPr>
        <w:spacing w:line="360" w:lineRule="auto"/>
        <w:ind w:firstLine="480" w:firstLineChars="200"/>
        <w:rPr>
          <w:rFonts w:hint="eastAsia"/>
          <w:sz w:val="24"/>
          <w:szCs w:val="21"/>
        </w:rPr>
      </w:pPr>
    </w:p>
    <w:p w14:paraId="4FEE9493">
      <w:pPr>
        <w:spacing w:line="360" w:lineRule="auto"/>
        <w:ind w:firstLine="420" w:firstLineChars="200"/>
        <w:rPr>
          <w:rFonts w:hint="eastAsia"/>
          <w:sz w:val="24"/>
          <w:szCs w:val="21"/>
        </w:rPr>
      </w:pPr>
      <w:r>
        <w:drawing>
          <wp:anchor distT="0" distB="0" distL="114300" distR="114300" simplePos="0" relativeHeight="251686912" behindDoc="0" locked="0" layoutInCell="1" allowOverlap="1">
            <wp:simplePos x="0" y="0"/>
            <wp:positionH relativeFrom="column">
              <wp:posOffset>266700</wp:posOffset>
            </wp:positionH>
            <wp:positionV relativeFrom="paragraph">
              <wp:posOffset>55245</wp:posOffset>
            </wp:positionV>
            <wp:extent cx="5172075" cy="6353175"/>
            <wp:effectExtent l="0" t="0" r="9525" b="9525"/>
            <wp:wrapTopAndBottom/>
            <wp:docPr id="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2"/>
                    <pic:cNvPicPr>
                      <a:picLocks noChangeAspect="1"/>
                    </pic:cNvPicPr>
                  </pic:nvPicPr>
                  <pic:blipFill>
                    <a:blip r:embed="rId28"/>
                    <a:stretch>
                      <a:fillRect/>
                    </a:stretch>
                  </pic:blipFill>
                  <pic:spPr>
                    <a:xfrm>
                      <a:off x="0" y="0"/>
                      <a:ext cx="5172075" cy="6353175"/>
                    </a:xfrm>
                    <a:prstGeom prst="rect">
                      <a:avLst/>
                    </a:prstGeom>
                    <a:noFill/>
                    <a:ln>
                      <a:noFill/>
                    </a:ln>
                  </pic:spPr>
                </pic:pic>
              </a:graphicData>
            </a:graphic>
          </wp:anchor>
        </w:drawing>
      </w:r>
    </w:p>
    <w:p w14:paraId="7B8D3009">
      <w:pPr>
        <w:spacing w:line="360" w:lineRule="auto"/>
        <w:ind w:firstLine="480" w:firstLineChars="200"/>
        <w:rPr>
          <w:rFonts w:hint="eastAsia"/>
          <w:sz w:val="24"/>
          <w:szCs w:val="21"/>
        </w:rPr>
      </w:pPr>
    </w:p>
    <w:p w14:paraId="0CEAE3DF">
      <w:pPr>
        <w:spacing w:line="360" w:lineRule="auto"/>
        <w:ind w:firstLine="480" w:firstLineChars="200"/>
        <w:rPr>
          <w:rFonts w:hint="eastAsia"/>
          <w:sz w:val="24"/>
          <w:szCs w:val="21"/>
        </w:rPr>
      </w:pPr>
    </w:p>
    <w:p w14:paraId="6F5F177C">
      <w:pPr>
        <w:spacing w:line="360" w:lineRule="auto"/>
        <w:ind w:firstLine="480" w:firstLineChars="200"/>
        <w:rPr>
          <w:rFonts w:hint="eastAsia"/>
          <w:sz w:val="24"/>
          <w:szCs w:val="21"/>
        </w:rPr>
      </w:pPr>
    </w:p>
    <w:p w14:paraId="1FE3AEF4">
      <w:pPr>
        <w:spacing w:line="360" w:lineRule="auto"/>
        <w:ind w:firstLine="480" w:firstLineChars="200"/>
        <w:rPr>
          <w:rFonts w:hint="eastAsia"/>
          <w:sz w:val="24"/>
          <w:szCs w:val="21"/>
        </w:rPr>
      </w:pPr>
    </w:p>
    <w:p w14:paraId="4F95AC3B">
      <w:pPr>
        <w:spacing w:line="360" w:lineRule="auto"/>
        <w:ind w:firstLine="480" w:firstLineChars="200"/>
        <w:rPr>
          <w:rFonts w:hint="eastAsia"/>
          <w:sz w:val="24"/>
          <w:szCs w:val="21"/>
        </w:rPr>
      </w:pPr>
    </w:p>
    <w:p w14:paraId="13103E59">
      <w:pPr>
        <w:spacing w:line="360" w:lineRule="auto"/>
        <w:ind w:firstLine="480" w:firstLineChars="200"/>
        <w:rPr>
          <w:rFonts w:hint="eastAsia"/>
          <w:sz w:val="24"/>
          <w:szCs w:val="21"/>
        </w:rPr>
      </w:pPr>
    </w:p>
    <w:p w14:paraId="443E01DA">
      <w:pPr>
        <w:spacing w:line="360" w:lineRule="auto"/>
        <w:ind w:firstLine="480" w:firstLineChars="200"/>
        <w:rPr>
          <w:rFonts w:hint="eastAsia"/>
          <w:sz w:val="24"/>
          <w:szCs w:val="21"/>
        </w:rPr>
      </w:pPr>
    </w:p>
    <w:p w14:paraId="004CA4E2">
      <w:pPr>
        <w:spacing w:line="360" w:lineRule="auto"/>
        <w:ind w:firstLine="420" w:firstLineChars="200"/>
        <w:rPr>
          <w:rFonts w:hint="eastAsia"/>
          <w:sz w:val="24"/>
          <w:szCs w:val="21"/>
        </w:rPr>
      </w:pPr>
      <w:r>
        <w:drawing>
          <wp:anchor distT="0" distB="0" distL="114300" distR="114300" simplePos="0" relativeHeight="251687936" behindDoc="0" locked="0" layoutInCell="1" allowOverlap="1">
            <wp:simplePos x="0" y="0"/>
            <wp:positionH relativeFrom="column">
              <wp:posOffset>266700</wp:posOffset>
            </wp:positionH>
            <wp:positionV relativeFrom="paragraph">
              <wp:posOffset>163195</wp:posOffset>
            </wp:positionV>
            <wp:extent cx="5467350" cy="6315075"/>
            <wp:effectExtent l="0" t="0" r="6350" b="9525"/>
            <wp:wrapTopAndBottom/>
            <wp:docPr id="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3"/>
                    <pic:cNvPicPr>
                      <a:picLocks noChangeAspect="1"/>
                    </pic:cNvPicPr>
                  </pic:nvPicPr>
                  <pic:blipFill>
                    <a:blip r:embed="rId29"/>
                    <a:stretch>
                      <a:fillRect/>
                    </a:stretch>
                  </pic:blipFill>
                  <pic:spPr>
                    <a:xfrm>
                      <a:off x="0" y="0"/>
                      <a:ext cx="5467350" cy="6315075"/>
                    </a:xfrm>
                    <a:prstGeom prst="rect">
                      <a:avLst/>
                    </a:prstGeom>
                    <a:noFill/>
                    <a:ln>
                      <a:noFill/>
                    </a:ln>
                  </pic:spPr>
                </pic:pic>
              </a:graphicData>
            </a:graphic>
          </wp:anchor>
        </w:drawing>
      </w:r>
    </w:p>
    <w:p w14:paraId="3D8576C8">
      <w:pPr>
        <w:spacing w:line="360" w:lineRule="auto"/>
        <w:ind w:firstLine="480" w:firstLineChars="200"/>
        <w:rPr>
          <w:rFonts w:hint="eastAsia"/>
          <w:sz w:val="24"/>
          <w:szCs w:val="21"/>
        </w:rPr>
      </w:pPr>
    </w:p>
    <w:p w14:paraId="4C84732A">
      <w:pPr>
        <w:spacing w:line="360" w:lineRule="auto"/>
        <w:ind w:firstLine="480" w:firstLineChars="200"/>
        <w:rPr>
          <w:rFonts w:hint="eastAsia"/>
          <w:sz w:val="24"/>
          <w:szCs w:val="21"/>
        </w:rPr>
      </w:pPr>
    </w:p>
    <w:p w14:paraId="6BC84138">
      <w:pPr>
        <w:spacing w:line="360" w:lineRule="auto"/>
        <w:ind w:firstLine="480" w:firstLineChars="200"/>
        <w:rPr>
          <w:rFonts w:hint="eastAsia"/>
          <w:sz w:val="24"/>
          <w:szCs w:val="21"/>
        </w:rPr>
      </w:pPr>
    </w:p>
    <w:p w14:paraId="6446C4DE">
      <w:pPr>
        <w:spacing w:line="360" w:lineRule="auto"/>
        <w:ind w:firstLine="480" w:firstLineChars="200"/>
        <w:rPr>
          <w:rFonts w:hint="eastAsia"/>
          <w:sz w:val="24"/>
          <w:szCs w:val="21"/>
        </w:rPr>
      </w:pPr>
    </w:p>
    <w:p w14:paraId="21239A63">
      <w:pPr>
        <w:spacing w:line="360" w:lineRule="auto"/>
        <w:ind w:firstLine="480" w:firstLineChars="200"/>
        <w:rPr>
          <w:rFonts w:hint="eastAsia"/>
          <w:sz w:val="24"/>
          <w:szCs w:val="21"/>
        </w:rPr>
      </w:pPr>
    </w:p>
    <w:p w14:paraId="6CFEA10D">
      <w:pPr>
        <w:spacing w:line="360" w:lineRule="auto"/>
        <w:ind w:firstLine="480" w:firstLineChars="200"/>
        <w:rPr>
          <w:rFonts w:hint="eastAsia"/>
          <w:sz w:val="24"/>
          <w:szCs w:val="21"/>
        </w:rPr>
      </w:pPr>
    </w:p>
    <w:p w14:paraId="55B77D92">
      <w:pPr>
        <w:spacing w:line="360" w:lineRule="auto"/>
        <w:ind w:firstLine="480" w:firstLineChars="200"/>
        <w:rPr>
          <w:rFonts w:hint="eastAsia"/>
          <w:sz w:val="24"/>
          <w:szCs w:val="21"/>
        </w:rPr>
      </w:pPr>
      <w:r>
        <w:rPr>
          <w:rFonts w:hint="eastAsia"/>
          <w:sz w:val="24"/>
          <w:szCs w:val="21"/>
        </w:rPr>
        <w:t>3  讨  论</w:t>
      </w:r>
    </w:p>
    <w:p w14:paraId="62A850B7">
      <w:pPr>
        <w:spacing w:line="360" w:lineRule="auto"/>
        <w:ind w:firstLine="480" w:firstLineChars="200"/>
        <w:rPr>
          <w:rFonts w:hint="eastAsia"/>
          <w:sz w:val="24"/>
          <w:szCs w:val="21"/>
        </w:rPr>
      </w:pPr>
      <w:r>
        <w:rPr>
          <w:rFonts w:hint="eastAsia"/>
          <w:sz w:val="24"/>
          <w:szCs w:val="21"/>
        </w:rPr>
        <w:t>3.1  饲料蛋白质水平对大口黑鲈雌性亲鱼产卵后形体指标的影响</w:t>
      </w:r>
    </w:p>
    <w:p w14:paraId="6041E122">
      <w:pPr>
        <w:spacing w:line="360" w:lineRule="auto"/>
        <w:ind w:firstLine="480" w:firstLineChars="200"/>
        <w:rPr>
          <w:rFonts w:hint="eastAsia"/>
          <w:sz w:val="24"/>
          <w:szCs w:val="21"/>
        </w:rPr>
      </w:pPr>
      <w:r>
        <w:rPr>
          <w:rFonts w:hint="eastAsia"/>
          <w:sz w:val="24"/>
          <w:szCs w:val="21"/>
        </w:rPr>
        <w:t>鱼类生长状况最直观的反映是形体指标，其中HSI、VSI和MFI常被用于评估鱼类的生理状态。鱼类体内脂肪主要积累于肝脏和肠系膜等部位，脂肪过度沉积会对肝脏及其他器官造成代谢负担</w:t>
      </w:r>
      <w:r>
        <w:rPr>
          <w:rFonts w:hint="eastAsia"/>
          <w:sz w:val="24"/>
          <w:szCs w:val="21"/>
          <w:vertAlign w:val="superscript"/>
        </w:rPr>
        <w:t>[18</w:t>
      </w:r>
      <w:r>
        <w:rPr>
          <w:rFonts w:hint="default"/>
          <w:sz w:val="24"/>
          <w:szCs w:val="21"/>
          <w:vertAlign w:val="superscript"/>
          <w:lang w:val="en-US"/>
        </w:rPr>
        <w:t>]</w:t>
      </w:r>
      <w:r>
        <w:rPr>
          <w:rFonts w:hint="eastAsia"/>
          <w:sz w:val="24"/>
          <w:szCs w:val="21"/>
        </w:rPr>
        <w:t>。已有研究表明，太湖鲂鲌(Culter alburnus ♀×Megalobrama terminalis )幼鱼的HSI与饲料碳水化合物水平呈正相关，与饲料蛋白质水平呈负相关，过高的碳水化合物摄入会促进脂肪合成，进而导致脂肪在体内过度蓄积</w:t>
      </w:r>
      <w:r>
        <w:rPr>
          <w:rFonts w:hint="eastAsia"/>
          <w:sz w:val="24"/>
          <w:szCs w:val="21"/>
          <w:vertAlign w:val="superscript"/>
        </w:rPr>
        <w:t>[19]</w:t>
      </w:r>
      <w:r>
        <w:rPr>
          <w:rFonts w:hint="eastAsia"/>
          <w:sz w:val="24"/>
          <w:szCs w:val="21"/>
        </w:rPr>
        <w:t>。本研究结果显示，随着饲料蛋白质水平的升高，大口黑鲈亲鱼的HSI和MFI整体呈现下降趋势，这与在黄姑鱼(</w:t>
      </w:r>
      <w:r>
        <w:rPr>
          <w:rFonts w:hint="default" w:ascii="Times New Roman Italic" w:hAnsi="Times New Roman Italic" w:cs="Times New Roman Italic"/>
          <w:i/>
          <w:iCs/>
          <w:sz w:val="24"/>
          <w:szCs w:val="21"/>
        </w:rPr>
        <w:t>Nibea diacanthus</w:t>
      </w:r>
      <w:r>
        <w:rPr>
          <w:rFonts w:hint="eastAsia"/>
          <w:sz w:val="24"/>
          <w:szCs w:val="21"/>
        </w:rPr>
        <w:t>)</w:t>
      </w:r>
      <w:r>
        <w:rPr>
          <w:rFonts w:hint="eastAsia"/>
          <w:sz w:val="24"/>
          <w:szCs w:val="21"/>
          <w:vertAlign w:val="superscript"/>
        </w:rPr>
        <w:t>[20]</w:t>
      </w:r>
      <w:r>
        <w:rPr>
          <w:rFonts w:hint="eastAsia"/>
          <w:sz w:val="24"/>
          <w:szCs w:val="21"/>
        </w:rPr>
        <w:t>和光倒刺鲃(</w:t>
      </w:r>
      <w:r>
        <w:rPr>
          <w:rFonts w:hint="default" w:ascii="Times New Roman Italic" w:hAnsi="Times New Roman Italic" w:cs="Times New Roman Italic"/>
          <w:i/>
          <w:iCs/>
          <w:sz w:val="24"/>
          <w:szCs w:val="21"/>
        </w:rPr>
        <w:t>Spinibarbus hollandi</w:t>
      </w:r>
      <w:r>
        <w:rPr>
          <w:rFonts w:hint="eastAsia"/>
          <w:sz w:val="24"/>
          <w:szCs w:val="21"/>
        </w:rPr>
        <w:t>)</w:t>
      </w:r>
      <w:r>
        <w:rPr>
          <w:rFonts w:hint="eastAsia"/>
          <w:sz w:val="24"/>
          <w:szCs w:val="21"/>
          <w:vertAlign w:val="superscript"/>
        </w:rPr>
        <w:t>[21]</w:t>
      </w:r>
      <w:r>
        <w:rPr>
          <w:rFonts w:hint="eastAsia"/>
          <w:sz w:val="24"/>
          <w:szCs w:val="21"/>
        </w:rPr>
        <w:t>幼鱼上的研究结果一致。为维持各组饲料等脂等能，饲料蛋白质水平越低，则碳水化合物水平相应越高。在饲料蛋白质水平为35%时，大口黑鲈亲鱼的HSI和MFI最高，这可能是由于蛋白质水平过低导致肝脏和肠系膜中脂肪蓄积增加，进而影响机体健康，说明适宜提高饲料蛋白质水平对亲鱼肝脏健康具有改善作用。本试验中，饲料蛋白质水平对大口黑鲈亲鱼的VSI无显著影响，这与在大规格鳙(</w:t>
      </w:r>
      <w:r>
        <w:rPr>
          <w:rFonts w:hint="default" w:ascii="Times New Roman Italic" w:hAnsi="Times New Roman Italic" w:cs="Times New Roman Italic"/>
          <w:i/>
          <w:iCs/>
          <w:sz w:val="24"/>
          <w:szCs w:val="21"/>
        </w:rPr>
        <w:t>Aristichthys nobilis</w:t>
      </w:r>
      <w:r>
        <w:rPr>
          <w:rFonts w:hint="eastAsia"/>
          <w:sz w:val="24"/>
          <w:szCs w:val="21"/>
        </w:rPr>
        <w:t>)</w:t>
      </w:r>
      <w:r>
        <w:rPr>
          <w:rFonts w:hint="eastAsia"/>
          <w:sz w:val="24"/>
          <w:szCs w:val="21"/>
          <w:vertAlign w:val="superscript"/>
        </w:rPr>
        <w:t>[22]</w:t>
      </w:r>
      <w:r>
        <w:rPr>
          <w:rFonts w:hint="eastAsia"/>
          <w:sz w:val="24"/>
          <w:szCs w:val="21"/>
        </w:rPr>
        <w:t>上所得研究结果一致。</w:t>
      </w:r>
    </w:p>
    <w:p w14:paraId="1BCFD95F">
      <w:pPr>
        <w:spacing w:line="360" w:lineRule="auto"/>
        <w:ind w:firstLine="480" w:firstLineChars="200"/>
        <w:rPr>
          <w:rFonts w:hint="eastAsia"/>
          <w:sz w:val="24"/>
          <w:szCs w:val="21"/>
        </w:rPr>
      </w:pPr>
      <w:r>
        <w:rPr>
          <w:rFonts w:hint="eastAsia"/>
          <w:sz w:val="24"/>
          <w:szCs w:val="21"/>
        </w:rPr>
        <w:t>3.2饲料蛋白质水平对大口黑鲈雌性亲鱼产卵后肝脏和卵巢中抗氧化指标的影响</w:t>
      </w:r>
    </w:p>
    <w:p w14:paraId="6EDB59E7">
      <w:pPr>
        <w:spacing w:line="360" w:lineRule="auto"/>
        <w:ind w:firstLine="480" w:firstLineChars="200"/>
        <w:rPr>
          <w:rFonts w:hint="eastAsia"/>
          <w:sz w:val="24"/>
          <w:szCs w:val="21"/>
        </w:rPr>
      </w:pPr>
      <w:r>
        <w:rPr>
          <w:rFonts w:hint="eastAsia"/>
          <w:sz w:val="24"/>
          <w:szCs w:val="21"/>
        </w:rPr>
        <w:t>SOD是生物体内关键的抗氧化酶之一，能够特异性催化超氧阴离子自由基发生歧化反应，生成过氧化氢(H₂O₂),随后H₂O₂在GPx或CAT的作用下被还原为水，从而有效清除活性氧(ROS),保护机体免受氧化应激损伤</w:t>
      </w:r>
      <w:r>
        <w:rPr>
          <w:rFonts w:hint="eastAsia"/>
          <w:sz w:val="24"/>
          <w:szCs w:val="21"/>
          <w:vertAlign w:val="superscript"/>
        </w:rPr>
        <w:t>[23-24]</w:t>
      </w:r>
      <w:r>
        <w:rPr>
          <w:rFonts w:hint="eastAsia"/>
          <w:sz w:val="24"/>
          <w:szCs w:val="21"/>
        </w:rPr>
        <w:t>。因此，通过测定SOD活性可以客观评估机体的抗氧化能力。本试验结果显示，高蛋白质水平组(45%、50%和55%组)大口黑鲈亲鱼产卵后肝脏和卵巢中SOD活性均显著高于低蛋白质水平组(35%和40%组),这与Liu等</w:t>
      </w:r>
      <w:r>
        <w:rPr>
          <w:rFonts w:hint="eastAsia"/>
          <w:sz w:val="24"/>
          <w:szCs w:val="21"/>
          <w:vertAlign w:val="superscript"/>
        </w:rPr>
        <w:t>[25]</w:t>
      </w:r>
      <w:r>
        <w:rPr>
          <w:rFonts w:hint="eastAsia"/>
          <w:sz w:val="24"/>
          <w:szCs w:val="21"/>
        </w:rPr>
        <w:t>在虹鳟(</w:t>
      </w:r>
      <w:r>
        <w:rPr>
          <w:rFonts w:hint="default" w:ascii="Times New Roman Italic" w:hAnsi="Times New Roman Italic" w:cs="Times New Roman Italic"/>
          <w:i/>
          <w:iCs/>
          <w:sz w:val="24"/>
          <w:szCs w:val="21"/>
        </w:rPr>
        <w:t>Oncorhynchus mykiss</w:t>
      </w:r>
      <w:r>
        <w:rPr>
          <w:rFonts w:hint="eastAsia"/>
          <w:sz w:val="24"/>
          <w:szCs w:val="21"/>
        </w:rPr>
        <w:t>)上的研究结果一致。上述结果表明，饲料中45%的蛋白质水平能够显著提高大口黑鲈亲鱼产卵后的SOD活性，进而增强机体的抗氧化能力。</w:t>
      </w:r>
    </w:p>
    <w:p w14:paraId="0EB6210F">
      <w:pPr>
        <w:spacing w:line="360" w:lineRule="auto"/>
        <w:ind w:firstLine="480" w:firstLineChars="200"/>
        <w:rPr>
          <w:rFonts w:hint="eastAsia"/>
          <w:sz w:val="24"/>
          <w:szCs w:val="21"/>
        </w:rPr>
      </w:pPr>
      <w:r>
        <w:rPr>
          <w:rFonts w:hint="eastAsia"/>
          <w:sz w:val="24"/>
          <w:szCs w:val="21"/>
        </w:rPr>
        <w:t>3.3饲料蛋白质水平对大口黑鲈亲鱼产卵后肝脏和卵巢中免疫指标的影响</w:t>
      </w:r>
    </w:p>
    <w:p w14:paraId="5F241957">
      <w:pPr>
        <w:spacing w:line="360" w:lineRule="auto"/>
        <w:ind w:firstLine="480" w:firstLineChars="200"/>
        <w:rPr>
          <w:rFonts w:hint="eastAsia"/>
          <w:sz w:val="24"/>
          <w:szCs w:val="21"/>
        </w:rPr>
      </w:pPr>
      <w:r>
        <w:rPr>
          <w:rFonts w:hint="eastAsia"/>
          <w:sz w:val="24"/>
          <w:szCs w:val="21"/>
        </w:rPr>
        <w:t>LZM作为体液中的重要免疫因子，是鱼类非特异性免疫系统的关键组成部分</w:t>
      </w:r>
      <w:r>
        <w:rPr>
          <w:rFonts w:hint="eastAsia"/>
          <w:sz w:val="24"/>
          <w:szCs w:val="21"/>
          <w:vertAlign w:val="superscript"/>
        </w:rPr>
        <w:t>[26]</w:t>
      </w:r>
      <w:r>
        <w:rPr>
          <w:rFonts w:hint="eastAsia"/>
          <w:sz w:val="24"/>
          <w:szCs w:val="21"/>
        </w:rPr>
        <w:t>。LZM的活性常被用作评估鱼类代谢状态、营养状况及免疫功能的重要指标</w:t>
      </w:r>
      <w:r>
        <w:rPr>
          <w:rFonts w:hint="eastAsia"/>
          <w:sz w:val="24"/>
          <w:szCs w:val="21"/>
          <w:vertAlign w:val="superscript"/>
        </w:rPr>
        <w:t>[27]</w:t>
      </w:r>
      <w:r>
        <w:rPr>
          <w:rFonts w:hint="eastAsia"/>
          <w:sz w:val="24"/>
          <w:szCs w:val="21"/>
        </w:rPr>
        <w:t>。Zhang等</w:t>
      </w:r>
      <w:r>
        <w:rPr>
          <w:rFonts w:hint="eastAsia"/>
          <w:sz w:val="24"/>
          <w:szCs w:val="21"/>
          <w:vertAlign w:val="superscript"/>
        </w:rPr>
        <w:t>[28]</w:t>
      </w:r>
      <w:r>
        <w:rPr>
          <w:rFonts w:hint="eastAsia"/>
          <w:sz w:val="24"/>
          <w:szCs w:val="21"/>
        </w:rPr>
        <w:t>研究发现，摄食高蛋白质饲料的黄颡鱼(Pelteobagrus fulvidraco)体内LZM活性显著提高，表明充足的蛋白质摄入可为免疫相关酶的合成提供必需的氨基酸，从而维持机体健康。IgM含量亦是鱼类免疫学研究中衡量机体健康状况的可靠指标之一</w:t>
      </w:r>
      <w:r>
        <w:rPr>
          <w:rFonts w:hint="eastAsia"/>
          <w:sz w:val="24"/>
          <w:szCs w:val="21"/>
          <w:vertAlign w:val="superscript"/>
        </w:rPr>
        <w:t>[29]</w:t>
      </w:r>
      <w:r>
        <w:rPr>
          <w:rFonts w:hint="eastAsia"/>
          <w:sz w:val="24"/>
          <w:szCs w:val="21"/>
        </w:rPr>
        <w:t>。本试验结果显示，在45%组卵巢中LZM活性以及肝脏和卵巢中IgM含量最高，且显著高于其他各组。上述结果表明，饲料中45%的蛋白质水平能够有效提高大口黑鲈亲鱼产卵后的免疫酶活性和免疫球蛋白含量，进而增强机体的免疫功能。</w:t>
      </w:r>
    </w:p>
    <w:p w14:paraId="509A5597">
      <w:pPr>
        <w:spacing w:line="360" w:lineRule="auto"/>
        <w:ind w:firstLine="480" w:firstLineChars="200"/>
        <w:rPr>
          <w:rFonts w:hint="eastAsia"/>
          <w:sz w:val="24"/>
          <w:szCs w:val="21"/>
        </w:rPr>
      </w:pPr>
      <w:r>
        <w:rPr>
          <w:rFonts w:hint="eastAsia"/>
          <w:sz w:val="24"/>
          <w:szCs w:val="21"/>
        </w:rPr>
        <w:t>3.4饲料蛋白质水平对大口黑鲈雌性亲鱼产卵后肝脏和卵巢中抗氧化相关基因表达的影响</w:t>
      </w:r>
    </w:p>
    <w:p w14:paraId="7CACE23B">
      <w:pPr>
        <w:spacing w:line="360" w:lineRule="auto"/>
        <w:ind w:firstLine="480" w:firstLineChars="200"/>
        <w:rPr>
          <w:rFonts w:hint="eastAsia"/>
          <w:sz w:val="24"/>
          <w:szCs w:val="21"/>
        </w:rPr>
      </w:pPr>
      <w:r>
        <w:rPr>
          <w:rFonts w:hint="eastAsia"/>
          <w:sz w:val="24"/>
          <w:szCs w:val="21"/>
        </w:rPr>
        <w:t>在正常生理条件下，动物细胞内会持续产生一定水平的ROS;当ROS过量积累时，其细胞毒性作用会对机体组织造成氧化应激损伤，进而危害健康</w:t>
      </w:r>
      <w:r>
        <w:rPr>
          <w:rFonts w:hint="eastAsia"/>
          <w:sz w:val="24"/>
          <w:szCs w:val="21"/>
          <w:vertAlign w:val="superscript"/>
        </w:rPr>
        <w:t>[30]</w:t>
      </w:r>
      <w:r>
        <w:rPr>
          <w:rFonts w:hint="eastAsia"/>
          <w:sz w:val="24"/>
          <w:szCs w:val="21"/>
        </w:rPr>
        <w:t>。SOD(包括CuZnSOD和MnSOD等)、CAT及GPx是评估机体抗氧化能力的重要指标，对维持动物健康具有关键作用</w:t>
      </w:r>
      <w:r>
        <w:rPr>
          <w:rFonts w:hint="eastAsia"/>
          <w:sz w:val="24"/>
          <w:szCs w:val="21"/>
          <w:vertAlign w:val="superscript"/>
        </w:rPr>
        <w:t>[31]</w:t>
      </w:r>
      <w:r>
        <w:rPr>
          <w:rFonts w:hint="eastAsia"/>
          <w:sz w:val="24"/>
          <w:szCs w:val="21"/>
        </w:rPr>
        <w:t>。本试验结果显示，55%组肝脏中SOD1、Cu/ZnSOD和MnSOD的mRNA相对表达量均显著高于35%组；同时，45%和55%组肝脏和卵巢中MnSOD的mRNA相对表达量均显著高于35%组。尽管饲料蛋白质水平的变化对大口黑鲈亲鱼产卵后肝脏和卵巢中CAT、SOD3及GPx的mRNA相对表达量未产生显著影响，但从数值上看，45%和55%组相对较高，这与在草鱼(</w:t>
      </w:r>
      <w:r>
        <w:rPr>
          <w:rFonts w:hint="default" w:ascii="Times New Roman Italic" w:hAnsi="Times New Roman Italic" w:cs="Times New Roman Italic"/>
          <w:i/>
          <w:iCs/>
          <w:sz w:val="24"/>
          <w:szCs w:val="21"/>
        </w:rPr>
        <w:t>Ctenopharyngodon idella</w:t>
      </w:r>
      <w:r>
        <w:rPr>
          <w:rFonts w:hint="eastAsia"/>
          <w:sz w:val="24"/>
          <w:szCs w:val="21"/>
        </w:rPr>
        <w:t>)</w:t>
      </w:r>
      <w:r>
        <w:rPr>
          <w:rFonts w:hint="eastAsia"/>
          <w:sz w:val="24"/>
          <w:szCs w:val="21"/>
          <w:vertAlign w:val="superscript"/>
        </w:rPr>
        <w:t>[32]</w:t>
      </w:r>
      <w:r>
        <w:rPr>
          <w:rFonts w:hint="eastAsia"/>
          <w:sz w:val="24"/>
          <w:szCs w:val="21"/>
        </w:rPr>
        <w:t>及锦鲤(</w:t>
      </w:r>
      <w:r>
        <w:rPr>
          <w:rFonts w:hint="default" w:ascii="Times New Roman Italic" w:hAnsi="Times New Roman Italic" w:cs="Times New Roman Italic"/>
          <w:i/>
          <w:iCs/>
          <w:sz w:val="24"/>
          <w:szCs w:val="21"/>
        </w:rPr>
        <w:t>Cyprinus carpio</w:t>
      </w:r>
      <w:r>
        <w:rPr>
          <w:rFonts w:hint="eastAsia"/>
          <w:sz w:val="24"/>
          <w:szCs w:val="21"/>
        </w:rPr>
        <w:t>)</w:t>
      </w:r>
      <w:r>
        <w:rPr>
          <w:rFonts w:hint="eastAsia"/>
          <w:sz w:val="24"/>
          <w:szCs w:val="21"/>
          <w:vertAlign w:val="superscript"/>
        </w:rPr>
        <w:t>[33]</w:t>
      </w:r>
      <w:r>
        <w:rPr>
          <w:rFonts w:hint="eastAsia"/>
          <w:sz w:val="24"/>
          <w:szCs w:val="21"/>
        </w:rPr>
        <w:t>幼鱼上所得研究结果类似。卵巢作为雌性亲鱼关键的繁殖器官，其抗氧化状态对繁殖性能至关重要。本试验中，当饲料蛋白质水平为45%时，大口黑鲈亲鱼产卵后卵巢中SOD1、Cu/Zn-SOD和Mn-SOD的mRNA相对表达量均显著高于35%组。综上所述，饲料中45%的蛋白质水平能够有效上调大口黑鲈亲鱼产卵后抗氧化酶基因的表达，增强机体抗氧化能力，从而减轻氧化应激对肝脏和卵巢的损伤，改善亲鱼的整体健康状况。</w:t>
      </w:r>
    </w:p>
    <w:p w14:paraId="733F81EC">
      <w:pPr>
        <w:spacing w:line="360" w:lineRule="auto"/>
        <w:ind w:firstLine="480" w:firstLineChars="200"/>
        <w:rPr>
          <w:rFonts w:hint="eastAsia"/>
          <w:sz w:val="24"/>
          <w:szCs w:val="21"/>
        </w:rPr>
      </w:pPr>
      <w:r>
        <w:rPr>
          <w:rFonts w:hint="eastAsia"/>
          <w:sz w:val="24"/>
          <w:szCs w:val="21"/>
        </w:rPr>
        <w:t>本试验结果显示，在肝脏组织中，35%组抗氧化相关基因的整体表达量最低，表明该组鱼体的抗氧化能力最差。推测其原因在于，35%组饲料中淀粉含量相对较高，鱼体在代谢过量碳水化合物时，会导致糖原和脂肪过度合成并在肝脏中蓄积，进而诱发肝脏脂质过氧化，引发机体的氧化应激反应。雌性亲鱼不仅需要维持自身正常的生长与代谢，还需为繁殖过程储备充足的物质与能量</w:t>
      </w:r>
      <w:r>
        <w:rPr>
          <w:rFonts w:hint="eastAsia"/>
          <w:sz w:val="24"/>
          <w:szCs w:val="21"/>
          <w:vertAlign w:val="superscript"/>
        </w:rPr>
        <w:t>[34]</w:t>
      </w:r>
      <w:r>
        <w:rPr>
          <w:rFonts w:hint="eastAsia"/>
          <w:sz w:val="24"/>
          <w:szCs w:val="21"/>
        </w:rPr>
        <w:t>。在本研究中，尽管卵巢中CAT、SOD3、GST及GPx的mRNA相对表达量在各组间未呈现显著差异，但SOD3和GPx的mRNA相对表达量随饲料蛋白质水平的升高均表现出一定的上升趋势。推测其原因可能是，亲鱼在产卵后机体能量代谢水平整体下降，ROS的产生相应减少，从而使得饲料蛋白质水平对卵巢抗氧化相关基因表达的调控作用未达到显著水平。</w:t>
      </w:r>
    </w:p>
    <w:p w14:paraId="6399CE58">
      <w:pPr>
        <w:spacing w:line="360" w:lineRule="auto"/>
        <w:ind w:firstLine="480" w:firstLineChars="200"/>
        <w:rPr>
          <w:rFonts w:hint="eastAsia"/>
          <w:sz w:val="24"/>
          <w:szCs w:val="21"/>
        </w:rPr>
      </w:pPr>
      <w:r>
        <w:rPr>
          <w:rFonts w:hint="eastAsia"/>
          <w:sz w:val="24"/>
          <w:szCs w:val="21"/>
        </w:rPr>
        <w:t>3.5饲料蛋白质水平对大口黑鲈雌性亲鱼产卵后肝脏和卵巢中免疫相关基因表达的影响</w:t>
      </w:r>
    </w:p>
    <w:p w14:paraId="50EE9BA3">
      <w:pPr>
        <w:spacing w:line="360" w:lineRule="auto"/>
        <w:ind w:firstLine="480" w:firstLineChars="200"/>
        <w:rPr>
          <w:rFonts w:hint="eastAsia"/>
          <w:sz w:val="24"/>
          <w:szCs w:val="21"/>
        </w:rPr>
      </w:pPr>
      <w:r>
        <w:rPr>
          <w:rFonts w:hint="eastAsia"/>
          <w:sz w:val="24"/>
          <w:szCs w:val="21"/>
        </w:rPr>
        <w:t>已有研究表明，Toll样受体(TLRs)能够识别微生物病原体，从而激活机体的免疫系统</w:t>
      </w:r>
      <w:r>
        <w:rPr>
          <w:rFonts w:hint="eastAsia"/>
          <w:sz w:val="24"/>
          <w:szCs w:val="21"/>
          <w:vertAlign w:val="superscript"/>
        </w:rPr>
        <w:t>[35]</w:t>
      </w:r>
      <w:r>
        <w:rPr>
          <w:rFonts w:hint="eastAsia"/>
          <w:sz w:val="24"/>
          <w:szCs w:val="21"/>
        </w:rPr>
        <w:t>。其中，TLR1和TLR2定位于细胞表面，主要识别细菌、真菌和原生动物来源的病原相关分子模式；而TLR3和TLR9则在细胞内表达，识别病毒或细菌的核酸成分</w:t>
      </w:r>
      <w:r>
        <w:rPr>
          <w:rFonts w:hint="eastAsia"/>
          <w:sz w:val="24"/>
          <w:szCs w:val="21"/>
          <w:vertAlign w:val="superscript"/>
        </w:rPr>
        <w:t>[36]</w:t>
      </w:r>
      <w:r>
        <w:rPr>
          <w:rFonts w:hint="eastAsia"/>
          <w:sz w:val="24"/>
          <w:szCs w:val="21"/>
        </w:rPr>
        <w:t>。上述受体可通过不同信号途径调控髓系分化因子88(MyD88)的表达与活化，进而激活核转录因子-κB(NFκB),诱导巨噬细胞等免疫细胞产生炎症细胞因子</w:t>
      </w:r>
      <w:r>
        <w:rPr>
          <w:rFonts w:hint="eastAsia"/>
          <w:sz w:val="24"/>
          <w:szCs w:val="21"/>
          <w:vertAlign w:val="superscript"/>
        </w:rPr>
        <w:t>[37]</w:t>
      </w:r>
      <w:r>
        <w:rPr>
          <w:rFonts w:hint="eastAsia"/>
          <w:sz w:val="24"/>
          <w:szCs w:val="21"/>
        </w:rPr>
        <w:t>。在本研究中，当饲料蛋白质水平为45%时，大口黑鲈肝脏中TLR3以及卵巢中TLR1的mRNA相对表达量均显著上调。白细胞介素(IL)和肿瘤坏死因子(TNF)是两类关键的炎症相关细胞因子</w:t>
      </w:r>
      <w:r>
        <w:rPr>
          <w:rFonts w:hint="eastAsia"/>
          <w:sz w:val="24"/>
          <w:szCs w:val="21"/>
          <w:vertAlign w:val="superscript"/>
        </w:rPr>
        <w:t>[38]</w:t>
      </w:r>
      <w:r>
        <w:rPr>
          <w:rFonts w:hint="eastAsia"/>
          <w:sz w:val="24"/>
          <w:szCs w:val="21"/>
        </w:rPr>
        <w:t>。其中，IL1β可由单核细胞、巨噬细胞及淋巴细胞等多种免疫细胞分泌，是启动炎症反应的重要介质；TNFα作为一种强效促炎因子，能够协同IL1β调节下游细胞因子的表达，放大炎症信号；IL8则主要介导中性粒细胞的趋化作用，促进其黏附于内皮细胞并向炎症部位迁移</w:t>
      </w:r>
      <w:r>
        <w:rPr>
          <w:rFonts w:hint="eastAsia"/>
          <w:sz w:val="24"/>
          <w:szCs w:val="21"/>
          <w:vertAlign w:val="superscript"/>
        </w:rPr>
        <w:t>[39]</w:t>
      </w:r>
      <w:r>
        <w:rPr>
          <w:rFonts w:hint="eastAsia"/>
          <w:sz w:val="24"/>
          <w:szCs w:val="21"/>
        </w:rPr>
        <w:t>。本试验结果显示，在35%组中，肝脏中IL1β和TNFα的mRNA相对表达量显著上调，提示该组鱼体可能处于炎症激活状态；而在45%组中，IL1β、TNFα和IL8的mRNA相对表达量均明显降低。这一趋势与Ma等</w:t>
      </w:r>
      <w:r>
        <w:rPr>
          <w:rFonts w:hint="eastAsia"/>
          <w:sz w:val="24"/>
          <w:szCs w:val="21"/>
          <w:vertAlign w:val="superscript"/>
        </w:rPr>
        <w:t>[40]</w:t>
      </w:r>
      <w:r>
        <w:rPr>
          <w:rFonts w:hint="eastAsia"/>
          <w:sz w:val="24"/>
          <w:szCs w:val="21"/>
        </w:rPr>
        <w:t>在皱纹盘鲍(</w:t>
      </w:r>
      <w:r>
        <w:rPr>
          <w:rFonts w:hint="default" w:ascii="Times New Roman Italic" w:hAnsi="Times New Roman Italic" w:cs="Times New Roman Italic"/>
          <w:i/>
          <w:iCs/>
          <w:sz w:val="24"/>
          <w:szCs w:val="21"/>
        </w:rPr>
        <w:t>Haliotis discus hannai</w:t>
      </w:r>
      <w:r>
        <w:rPr>
          <w:rFonts w:hint="eastAsia"/>
          <w:sz w:val="24"/>
          <w:szCs w:val="21"/>
        </w:rPr>
        <w:t>)上的研究结果相似，该研究显示，与17.64%和43.27%的饲料蛋白质水平相比，适宜的蛋白质水平(30.49%)显著下调了肝胰腺中TNFα的表达，从而增强了机体的免疫功能。综上所述，适宜的饲料蛋白质水平(45%)能够显著下调大口黑鲈亲鱼产卵后炎症相关基因的表达，提高其抗炎能力，降低机体在繁殖后发生炎症反应的风险。</w:t>
      </w:r>
    </w:p>
    <w:p w14:paraId="5118A43C">
      <w:pPr>
        <w:spacing w:line="360" w:lineRule="auto"/>
        <w:ind w:firstLine="480" w:firstLineChars="200"/>
        <w:rPr>
          <w:rFonts w:hint="eastAsia"/>
          <w:sz w:val="24"/>
          <w:szCs w:val="21"/>
        </w:rPr>
      </w:pPr>
      <w:r>
        <w:rPr>
          <w:rFonts w:hint="eastAsia"/>
          <w:sz w:val="24"/>
          <w:szCs w:val="21"/>
        </w:rPr>
        <w:t>本试验结果还显示，当饲料蛋白质水平为45%时，大口黑鲈亲鱼产卵后卵巢中LZM的mRNA相对表达量显著上调。这一结果与海参(</w:t>
      </w:r>
      <w:r>
        <w:rPr>
          <w:rFonts w:hint="default" w:ascii="Times New Roman Italic" w:hAnsi="Times New Roman Italic" w:cs="Times New Roman Italic"/>
          <w:i/>
          <w:iCs/>
          <w:sz w:val="24"/>
          <w:szCs w:val="21"/>
        </w:rPr>
        <w:t>Apostichopus japonicus</w:t>
      </w:r>
      <w:r>
        <w:rPr>
          <w:rFonts w:hint="eastAsia"/>
          <w:sz w:val="24"/>
          <w:szCs w:val="21"/>
        </w:rPr>
        <w:t>)</w:t>
      </w:r>
      <w:r>
        <w:rPr>
          <w:rFonts w:hint="eastAsia"/>
          <w:sz w:val="24"/>
          <w:szCs w:val="21"/>
          <w:vertAlign w:val="superscript"/>
        </w:rPr>
        <w:t>[41]</w:t>
      </w:r>
      <w:r>
        <w:rPr>
          <w:rFonts w:hint="eastAsia"/>
          <w:sz w:val="24"/>
          <w:szCs w:val="21"/>
        </w:rPr>
        <w:t>和彭泽鲫(</w:t>
      </w:r>
      <w:r>
        <w:rPr>
          <w:rFonts w:hint="default" w:ascii="Times New Roman Italic" w:hAnsi="Times New Roman Italic" w:cs="Times New Roman Italic"/>
          <w:i/>
          <w:iCs/>
          <w:sz w:val="24"/>
          <w:szCs w:val="21"/>
        </w:rPr>
        <w:t>Carassius auratus var.Pengze</w:t>
      </w:r>
      <w:r>
        <w:rPr>
          <w:rFonts w:hint="eastAsia"/>
          <w:sz w:val="24"/>
          <w:szCs w:val="21"/>
        </w:rPr>
        <w:t>)</w:t>
      </w:r>
      <w:r>
        <w:rPr>
          <w:rFonts w:hint="eastAsia"/>
          <w:sz w:val="24"/>
          <w:szCs w:val="21"/>
          <w:vertAlign w:val="superscript"/>
        </w:rPr>
        <w:t>[42]</w:t>
      </w:r>
      <w:r>
        <w:rPr>
          <w:rFonts w:hint="eastAsia"/>
          <w:sz w:val="24"/>
          <w:szCs w:val="21"/>
        </w:rPr>
        <w:t>上的研究结论一致：适宜的饲料蛋白质水平可有效提高LZM活性，增强机体的非特异性免疫能力；然而，当饲料蛋白质水平超过适宜范围时，LZM活性反而受到抑制，进而削弱机体的免疫防御功能。综上所述，本试验条件下，45%的饲料蛋白质水平能够上调大口黑鲈亲鱼产卵后卵巢中LZM的表达，对机体的免疫功能发挥积极作用。</w:t>
      </w:r>
    </w:p>
    <w:p w14:paraId="33E1592A">
      <w:pPr>
        <w:spacing w:line="360" w:lineRule="auto"/>
        <w:ind w:firstLine="480" w:firstLineChars="200"/>
        <w:rPr>
          <w:rFonts w:hint="eastAsia"/>
          <w:sz w:val="24"/>
          <w:szCs w:val="21"/>
        </w:rPr>
      </w:pPr>
      <w:r>
        <w:rPr>
          <w:rFonts w:hint="eastAsia"/>
          <w:sz w:val="24"/>
          <w:szCs w:val="21"/>
        </w:rPr>
        <w:t>热休克蛋白(HSPs)是一类在应激条件及代谢损伤下被诱导表达的关键分子，在维持细胞稳态中发挥核心作用</w:t>
      </w:r>
      <w:r>
        <w:rPr>
          <w:rFonts w:hint="eastAsia"/>
          <w:sz w:val="24"/>
          <w:szCs w:val="21"/>
          <w:vertAlign w:val="superscript"/>
        </w:rPr>
        <w:t>[43</w:t>
      </w:r>
      <w:r>
        <w:rPr>
          <w:rFonts w:hint="eastAsia"/>
          <w:sz w:val="24"/>
          <w:szCs w:val="21"/>
        </w:rPr>
        <w:t>]。研究表明，在高温胁迫下，饲料蛋白质水平为32%时，团头鲂(</w:t>
      </w:r>
      <w:r>
        <w:rPr>
          <w:rFonts w:hint="default" w:ascii="Times New Roman Italic" w:hAnsi="Times New Roman Italic" w:cs="Times New Roman Italic"/>
          <w:i/>
          <w:iCs/>
          <w:sz w:val="24"/>
          <w:szCs w:val="21"/>
        </w:rPr>
        <w:t>Megalobrama amblycephala Yih</w:t>
      </w:r>
      <w:r>
        <w:rPr>
          <w:rFonts w:hint="eastAsia"/>
          <w:sz w:val="24"/>
          <w:szCs w:val="21"/>
        </w:rPr>
        <w:t>)体内HSP70的表达量显著提高，表明适宜的饲料蛋白质水平有助于增强鱼体对环境应激的抵抗力</w:t>
      </w:r>
      <w:r>
        <w:rPr>
          <w:rFonts w:hint="eastAsia"/>
          <w:sz w:val="24"/>
          <w:szCs w:val="21"/>
          <w:vertAlign w:val="superscript"/>
        </w:rPr>
        <w:t>[44]</w:t>
      </w:r>
      <w:r>
        <w:rPr>
          <w:rFonts w:hint="eastAsia"/>
          <w:sz w:val="24"/>
          <w:szCs w:val="21"/>
        </w:rPr>
        <w:t>。本试验结果显示，在卵巢中，HSP70的mRNA相对表达量随饲料蛋白质水平的升高呈现先上升后下降的趋势，且在45%组达到峰值，显著高于35%、40%和55%组。类似的结果在海胆(</w:t>
      </w:r>
      <w:r>
        <w:rPr>
          <w:rFonts w:hint="default" w:ascii="Times New Roman Italic" w:hAnsi="Times New Roman Italic" w:cs="Times New Roman Italic"/>
          <w:i/>
          <w:iCs/>
          <w:sz w:val="24"/>
          <w:szCs w:val="21"/>
        </w:rPr>
        <w:t>Strongylocentrotus intermedius</w:t>
      </w:r>
      <w:r>
        <w:rPr>
          <w:rFonts w:hint="eastAsia"/>
          <w:sz w:val="24"/>
          <w:szCs w:val="21"/>
        </w:rPr>
        <w:t>)研究中亦有报道：在热应激条件下，摄食较高蛋白质水平(30%)饲料的海胆肠道中HSP70的表达量显著增加</w:t>
      </w:r>
      <w:r>
        <w:rPr>
          <w:rFonts w:hint="eastAsia"/>
          <w:sz w:val="24"/>
          <w:szCs w:val="21"/>
          <w:vertAlign w:val="superscript"/>
        </w:rPr>
        <w:t>[45]</w:t>
      </w:r>
      <w:r>
        <w:rPr>
          <w:rFonts w:hint="eastAsia"/>
          <w:sz w:val="24"/>
          <w:szCs w:val="21"/>
        </w:rPr>
        <w:t>。在肝脏中，HSP70的表达趋势与卵巢中有所不同吗，表现为55%组显著高于45%组，这一结果与在多鳞鱚(</w:t>
      </w:r>
      <w:r>
        <w:rPr>
          <w:rFonts w:hint="default" w:ascii="Times New Roman Italic" w:hAnsi="Times New Roman Italic" w:cs="Times New Roman Italic"/>
          <w:i/>
          <w:iCs/>
          <w:sz w:val="24"/>
          <w:szCs w:val="21"/>
        </w:rPr>
        <w:t>Sillago sihama</w:t>
      </w:r>
      <w:r>
        <w:rPr>
          <w:rFonts w:hint="eastAsia"/>
          <w:sz w:val="24"/>
          <w:szCs w:val="21"/>
        </w:rPr>
        <w:t>)</w:t>
      </w:r>
      <w:r>
        <w:rPr>
          <w:rFonts w:hint="eastAsia"/>
          <w:sz w:val="24"/>
          <w:szCs w:val="21"/>
          <w:vertAlign w:val="superscript"/>
        </w:rPr>
        <w:t>[46]</w:t>
      </w:r>
      <w:r>
        <w:rPr>
          <w:rFonts w:hint="eastAsia"/>
          <w:sz w:val="24"/>
          <w:szCs w:val="21"/>
        </w:rPr>
        <w:t>幼鱼上的研究结果一致。推测其原因在于，过高的饲料蛋白质水平可能增加了肝脏的代谢负担，从而诱导HSP70在肝脏中高表达，以应对代谢压力带来的细胞应激。</w:t>
      </w:r>
    </w:p>
    <w:p w14:paraId="684692BB">
      <w:pPr>
        <w:spacing w:line="360" w:lineRule="auto"/>
        <w:ind w:firstLine="480" w:firstLineChars="200"/>
        <w:rPr>
          <w:rFonts w:hint="eastAsia"/>
          <w:sz w:val="24"/>
          <w:szCs w:val="21"/>
        </w:rPr>
      </w:pPr>
      <w:r>
        <w:rPr>
          <w:rFonts w:hint="eastAsia"/>
          <w:sz w:val="24"/>
          <w:szCs w:val="21"/>
        </w:rPr>
        <w:t>与哺乳动物相比，鱼类的特异性免疫系统相对较弱，其体内免疫球蛋白主要以IgM形式存在</w:t>
      </w:r>
      <w:r>
        <w:rPr>
          <w:rFonts w:hint="eastAsia"/>
          <w:sz w:val="24"/>
          <w:szCs w:val="21"/>
          <w:vertAlign w:val="superscript"/>
        </w:rPr>
        <w:t>[47]</w:t>
      </w:r>
      <w:r>
        <w:rPr>
          <w:rFonts w:hint="eastAsia"/>
          <w:sz w:val="24"/>
          <w:szCs w:val="21"/>
        </w:rPr>
        <w:t>。IgM是机体免疫应答中最早产生的抗体，在免疫调节和黏膜防御中发挥关键作用。本研究结果显示，当饲料蛋白质水平为45%时，大口黑鲈肝脏和卵巢中IgM的mRNA相对表达量均较其他组显著提高。这一结果与在金鱼(</w:t>
      </w:r>
      <w:r>
        <w:rPr>
          <w:rFonts w:hint="default" w:ascii="Times New Roman Italic" w:hAnsi="Times New Roman Italic" w:cs="Times New Roman Italic"/>
          <w:i/>
          <w:iCs/>
          <w:sz w:val="24"/>
          <w:szCs w:val="21"/>
        </w:rPr>
        <w:t>Carassius auratus</w:t>
      </w:r>
      <w:r>
        <w:rPr>
          <w:rFonts w:hint="eastAsia"/>
          <w:sz w:val="24"/>
          <w:szCs w:val="21"/>
        </w:rPr>
        <w:t>)</w:t>
      </w:r>
      <w:r>
        <w:rPr>
          <w:rFonts w:hint="eastAsia"/>
          <w:sz w:val="24"/>
          <w:szCs w:val="21"/>
          <w:vertAlign w:val="superscript"/>
        </w:rPr>
        <w:t>[48]</w:t>
      </w:r>
      <w:r>
        <w:rPr>
          <w:rFonts w:hint="eastAsia"/>
          <w:sz w:val="24"/>
          <w:szCs w:val="21"/>
        </w:rPr>
        <w:t>、鳙鱼(</w:t>
      </w:r>
      <w:r>
        <w:rPr>
          <w:rFonts w:hint="eastAsia"/>
          <w:i/>
          <w:iCs/>
          <w:sz w:val="24"/>
          <w:szCs w:val="21"/>
        </w:rPr>
        <w:t>Aristichthys nobilis</w:t>
      </w:r>
      <w:r>
        <w:rPr>
          <w:rFonts w:hint="eastAsia"/>
          <w:sz w:val="24"/>
          <w:szCs w:val="21"/>
        </w:rPr>
        <w:t>)</w:t>
      </w:r>
      <w:r>
        <w:rPr>
          <w:rFonts w:hint="eastAsia"/>
          <w:sz w:val="24"/>
          <w:szCs w:val="21"/>
          <w:vertAlign w:val="superscript"/>
        </w:rPr>
        <w:t>[49]</w:t>
      </w:r>
      <w:r>
        <w:rPr>
          <w:rFonts w:hint="eastAsia"/>
          <w:sz w:val="24"/>
          <w:szCs w:val="21"/>
        </w:rPr>
        <w:t>及虹鳟(</w:t>
      </w:r>
      <w:r>
        <w:rPr>
          <w:rFonts w:hint="eastAsia"/>
          <w:i/>
          <w:iCs/>
          <w:sz w:val="24"/>
          <w:szCs w:val="21"/>
        </w:rPr>
        <w:t>Oncorhynchus mykiss</w:t>
      </w:r>
      <w:r>
        <w:rPr>
          <w:rFonts w:hint="eastAsia"/>
          <w:sz w:val="24"/>
          <w:szCs w:val="21"/>
        </w:rPr>
        <w:t>)</w:t>
      </w:r>
      <w:r>
        <w:rPr>
          <w:rFonts w:hint="eastAsia"/>
          <w:sz w:val="24"/>
          <w:szCs w:val="21"/>
          <w:vertAlign w:val="superscript"/>
        </w:rPr>
        <w:t>[50]</w:t>
      </w:r>
      <w:r>
        <w:rPr>
          <w:rFonts w:hint="eastAsia"/>
          <w:sz w:val="24"/>
          <w:szCs w:val="21"/>
        </w:rPr>
        <w:t>上所得研究结果一致：适宜或较高的蛋白质水平能够上调IgM基因的表达并增强其活性，从而提升鱼体的特异性免疫能力；反之，饲料蛋白质水平过低则可能导致机体健康状况下降，增加病原感染的易感性。转化生长因子β(TGFβ)是一类重要的免疫调节因子，在T细胞和B细胞的增殖分化以及巨噬细胞等免疫细胞的激活过程中发挥关键调控作用。本研究结果显示，随着饲料蛋白质水平的升高，肝脏中TGF33的mRNA相对表达量呈上升趋势。在草鱼的相关研究中显示，适宜的饲料蛋白质水平能够上调抗炎细胞因子TGFβ的表达，减轻肠道炎症反应，增强肠道免疫功能和屏障完整性</w:t>
      </w:r>
      <w:r>
        <w:rPr>
          <w:rFonts w:hint="eastAsia"/>
          <w:sz w:val="24"/>
          <w:szCs w:val="21"/>
          <w:vertAlign w:val="superscript"/>
        </w:rPr>
        <w:t>[51]</w:t>
      </w:r>
      <w:r>
        <w:rPr>
          <w:rFonts w:hint="eastAsia"/>
          <w:sz w:val="24"/>
          <w:szCs w:val="21"/>
        </w:rPr>
        <w:t>。这与本研究结果相呼应，表明45%的饲料蛋白质水平有助于提高大口黑鲈亲鱼产卵后的特异性免疫能力。</w:t>
      </w:r>
    </w:p>
    <w:p w14:paraId="23F095E1">
      <w:pPr>
        <w:spacing w:line="360" w:lineRule="auto"/>
        <w:ind w:firstLine="480" w:firstLineChars="200"/>
        <w:rPr>
          <w:rFonts w:hint="eastAsia"/>
          <w:sz w:val="24"/>
          <w:szCs w:val="21"/>
        </w:rPr>
      </w:pPr>
    </w:p>
    <w:p w14:paraId="40C80DA1">
      <w:pPr>
        <w:spacing w:line="360" w:lineRule="auto"/>
        <w:ind w:firstLine="480" w:firstLineChars="200"/>
        <w:rPr>
          <w:rFonts w:hint="eastAsia"/>
          <w:sz w:val="24"/>
          <w:szCs w:val="21"/>
        </w:rPr>
      </w:pPr>
      <w:r>
        <w:rPr>
          <w:rFonts w:hint="eastAsia"/>
          <w:sz w:val="24"/>
          <w:szCs w:val="21"/>
        </w:rPr>
        <w:t>4结论</w:t>
      </w:r>
    </w:p>
    <w:p w14:paraId="08D0BF69">
      <w:pPr>
        <w:spacing w:line="360" w:lineRule="auto"/>
        <w:ind w:firstLine="480" w:firstLineChars="200"/>
        <w:rPr>
          <w:rFonts w:hint="eastAsia"/>
          <w:sz w:val="24"/>
          <w:szCs w:val="21"/>
        </w:rPr>
      </w:pPr>
      <w:r>
        <w:rPr>
          <w:rFonts w:hint="eastAsia"/>
          <w:sz w:val="24"/>
          <w:szCs w:val="21"/>
        </w:rPr>
        <w:t>综上所述，适宜的饲料蛋白质水平(45%)能够提升产卵后大口黑鲈雌性亲鱼的抗氧化能力和免疫功能，从而有效改善亲鱼产卵后的健康状况，提高其再利用率。</w:t>
      </w:r>
    </w:p>
    <w:p w14:paraId="3A675864">
      <w:pPr>
        <w:spacing w:line="360" w:lineRule="auto"/>
        <w:ind w:firstLine="480" w:firstLineChars="200"/>
        <w:rPr>
          <w:rFonts w:hint="eastAsia"/>
          <w:sz w:val="24"/>
          <w:szCs w:val="21"/>
        </w:rPr>
      </w:pPr>
    </w:p>
    <w:p w14:paraId="7C4CD68F">
      <w:pPr>
        <w:spacing w:line="360" w:lineRule="auto"/>
        <w:rPr>
          <w:sz w:val="24"/>
          <w:szCs w:val="21"/>
        </w:rPr>
      </w:pPr>
      <w:r>
        <w:rPr>
          <w:rFonts w:hint="eastAsia"/>
          <w:sz w:val="24"/>
          <w:szCs w:val="21"/>
        </w:rPr>
        <w:t>参考文献：略</w:t>
      </w:r>
    </w:p>
    <w:p w14:paraId="09149940">
      <w:pPr>
        <w:spacing w:line="360" w:lineRule="auto"/>
        <w:ind w:firstLine="420" w:firstLineChars="200"/>
        <w:jc w:val="right"/>
        <w:rPr>
          <w:szCs w:val="21"/>
        </w:rPr>
      </w:pPr>
      <w:r>
        <w:rPr>
          <w:szCs w:val="21"/>
        </w:rPr>
        <w:t>原文刊登在《</w:t>
      </w:r>
      <w:r>
        <w:rPr>
          <w:rFonts w:hint="eastAsia"/>
          <w:szCs w:val="21"/>
        </w:rPr>
        <w:t>动物营养学报</w:t>
      </w:r>
      <w:r>
        <w:rPr>
          <w:szCs w:val="21"/>
        </w:rPr>
        <w:t>》202</w:t>
      </w:r>
      <w:r>
        <w:rPr>
          <w:rFonts w:hint="eastAsia"/>
          <w:szCs w:val="21"/>
        </w:rPr>
        <w:t>6</w:t>
      </w:r>
      <w:r>
        <w:rPr>
          <w:szCs w:val="21"/>
        </w:rPr>
        <w:t>年第</w:t>
      </w:r>
      <w:r>
        <w:rPr>
          <w:rFonts w:hint="default"/>
          <w:szCs w:val="21"/>
          <w:lang w:val="en-US"/>
        </w:rPr>
        <w:t>5</w:t>
      </w:r>
      <w:r>
        <w:rPr>
          <w:szCs w:val="21"/>
        </w:rPr>
        <w:t>期</w:t>
      </w:r>
    </w:p>
    <w:p w14:paraId="300A19F3">
      <w:pPr>
        <w:spacing w:line="360" w:lineRule="auto"/>
        <w:ind w:firstLine="420" w:firstLineChars="200"/>
        <w:jc w:val="right"/>
        <w:rPr>
          <w:szCs w:val="21"/>
        </w:rPr>
      </w:pPr>
    </w:p>
    <w:p w14:paraId="1A2BD10A">
      <w:pPr>
        <w:spacing w:line="360" w:lineRule="auto"/>
        <w:ind w:firstLine="420" w:firstLineChars="200"/>
        <w:jc w:val="right"/>
        <w:rPr>
          <w:szCs w:val="21"/>
        </w:rPr>
      </w:pPr>
    </w:p>
    <w:p w14:paraId="4CD18A7F">
      <w:pPr>
        <w:spacing w:line="360" w:lineRule="auto"/>
        <w:ind w:firstLine="420" w:firstLineChars="200"/>
        <w:jc w:val="right"/>
        <w:rPr>
          <w:szCs w:val="21"/>
        </w:rPr>
      </w:pPr>
    </w:p>
    <w:p w14:paraId="2A9D023E">
      <w:pPr>
        <w:spacing w:line="360" w:lineRule="auto"/>
        <w:ind w:firstLine="420" w:firstLineChars="200"/>
        <w:jc w:val="right"/>
        <w:rPr>
          <w:szCs w:val="21"/>
        </w:rPr>
      </w:pPr>
    </w:p>
    <w:p w14:paraId="30CAA35A">
      <w:pPr>
        <w:spacing w:line="360" w:lineRule="auto"/>
        <w:ind w:firstLine="420" w:firstLineChars="200"/>
        <w:jc w:val="right"/>
        <w:rPr>
          <w:szCs w:val="21"/>
        </w:rPr>
      </w:pPr>
    </w:p>
    <w:p w14:paraId="1B620828">
      <w:pPr>
        <w:spacing w:line="360" w:lineRule="auto"/>
        <w:ind w:right="641"/>
        <w:outlineLvl w:val="0"/>
        <w:rPr>
          <w:rFonts w:eastAsia="黑体"/>
          <w:b/>
          <w:bCs/>
          <w:sz w:val="32"/>
          <w:szCs w:val="32"/>
          <w:bdr w:val="single" w:color="auto" w:sz="4" w:space="0"/>
        </w:rPr>
      </w:pPr>
      <w:bookmarkStart w:id="17" w:name="_Toc229603701"/>
      <w:bookmarkStart w:id="18" w:name="_Toc225807404"/>
      <w:bookmarkStart w:id="19" w:name="_Toc221758911"/>
      <w:r>
        <w:rPr>
          <w:rFonts w:eastAsia="黑体"/>
          <w:b/>
          <w:bCs/>
          <w:sz w:val="32"/>
          <w:szCs w:val="32"/>
          <w:bdr w:val="single" w:color="auto" w:sz="4" w:space="0"/>
        </w:rPr>
        <w:t>饲料研发</w:t>
      </w:r>
      <w:bookmarkEnd w:id="17"/>
      <w:bookmarkEnd w:id="18"/>
      <w:bookmarkEnd w:id="19"/>
    </w:p>
    <w:p w14:paraId="18EB3D1D">
      <w:pPr>
        <w:spacing w:line="360" w:lineRule="auto"/>
        <w:ind w:right="641"/>
        <w:outlineLvl w:val="0"/>
        <w:rPr>
          <w:rFonts w:eastAsia="黑体"/>
          <w:b/>
          <w:bCs/>
          <w:sz w:val="32"/>
          <w:szCs w:val="32"/>
          <w:bdr w:val="single" w:color="auto" w:sz="4" w:space="0"/>
        </w:rPr>
      </w:pPr>
    </w:p>
    <w:p w14:paraId="0AB8725A">
      <w:pPr>
        <w:jc w:val="center"/>
        <w:outlineLvl w:val="1"/>
        <w:rPr>
          <w:rFonts w:eastAsia="黑体"/>
          <w:b/>
          <w:bCs/>
          <w:sz w:val="32"/>
          <w:szCs w:val="32"/>
        </w:rPr>
      </w:pPr>
      <w:r>
        <w:rPr>
          <w:rFonts w:hint="eastAsia" w:eastAsia="黑体"/>
          <w:b/>
          <w:bCs/>
          <w:sz w:val="32"/>
          <w:szCs w:val="32"/>
        </w:rPr>
        <w:t>五倍子提取物对大口黑鲈生长性能、肠道组织及酶活性的影响</w:t>
      </w:r>
    </w:p>
    <w:p w14:paraId="4B502B07">
      <w:pPr>
        <w:jc w:val="center"/>
        <w:rPr>
          <w:rFonts w:hint="eastAsia"/>
          <w:szCs w:val="21"/>
        </w:rPr>
      </w:pPr>
      <w:r>
        <w:rPr>
          <w:rFonts w:hint="eastAsia"/>
          <w:szCs w:val="21"/>
        </w:rPr>
        <w:t>张福佳</w:t>
      </w:r>
      <w:r>
        <w:rPr>
          <w:rFonts w:hint="eastAsia"/>
          <w:szCs w:val="21"/>
          <w:vertAlign w:val="superscript"/>
        </w:rPr>
        <w:t>1</w:t>
      </w:r>
      <w:r>
        <w:rPr>
          <w:rFonts w:hint="eastAsia"/>
          <w:szCs w:val="21"/>
        </w:rPr>
        <w:t>孔秋宏</w:t>
      </w:r>
      <w:r>
        <w:rPr>
          <w:rFonts w:hint="eastAsia"/>
          <w:szCs w:val="21"/>
          <w:vertAlign w:val="superscript"/>
        </w:rPr>
        <w:t>2</w:t>
      </w:r>
      <w:r>
        <w:rPr>
          <w:rFonts w:hint="eastAsia"/>
          <w:szCs w:val="21"/>
        </w:rPr>
        <w:t>罗仕立</w:t>
      </w:r>
      <w:r>
        <w:rPr>
          <w:rFonts w:hint="eastAsia"/>
          <w:szCs w:val="21"/>
          <w:vertAlign w:val="superscript"/>
        </w:rPr>
        <w:t>3</w:t>
      </w:r>
      <w:r>
        <w:rPr>
          <w:rFonts w:hint="eastAsia"/>
          <w:szCs w:val="21"/>
        </w:rPr>
        <w:t>刘巧</w:t>
      </w:r>
      <w:r>
        <w:rPr>
          <w:rFonts w:hint="eastAsia"/>
          <w:szCs w:val="21"/>
          <w:vertAlign w:val="superscript"/>
        </w:rPr>
        <w:t>1</w:t>
      </w:r>
      <w:r>
        <w:rPr>
          <w:rFonts w:hint="eastAsia"/>
          <w:szCs w:val="21"/>
        </w:rPr>
        <w:t>陈敦学</w:t>
      </w:r>
      <w:r>
        <w:rPr>
          <w:rFonts w:hint="eastAsia"/>
          <w:szCs w:val="21"/>
          <w:vertAlign w:val="superscript"/>
        </w:rPr>
        <w:t>1</w:t>
      </w:r>
      <w:r>
        <w:rPr>
          <w:rFonts w:hint="eastAsia"/>
          <w:szCs w:val="21"/>
        </w:rPr>
        <w:t>杜强</w:t>
      </w:r>
      <w:r>
        <w:rPr>
          <w:rFonts w:hint="eastAsia"/>
          <w:szCs w:val="21"/>
          <w:vertAlign w:val="superscript"/>
        </w:rPr>
        <w:t>4</w:t>
      </w:r>
      <w:r>
        <w:rPr>
          <w:rFonts w:hint="eastAsia"/>
          <w:szCs w:val="21"/>
        </w:rPr>
        <w:t>周贤君</w:t>
      </w:r>
      <w:r>
        <w:rPr>
          <w:rFonts w:hint="eastAsia"/>
          <w:szCs w:val="21"/>
          <w:vertAlign w:val="superscript"/>
        </w:rPr>
        <w:t>1</w:t>
      </w:r>
      <w:r>
        <w:rPr>
          <w:rFonts w:hint="eastAsia"/>
          <w:szCs w:val="21"/>
        </w:rPr>
        <w:t>*</w:t>
      </w:r>
    </w:p>
    <w:p w14:paraId="08CFDAEC">
      <w:pPr>
        <w:jc w:val="center"/>
        <w:rPr>
          <w:rFonts w:hint="eastAsia"/>
          <w:szCs w:val="21"/>
        </w:rPr>
      </w:pPr>
    </w:p>
    <w:p w14:paraId="212E3576">
      <w:pPr>
        <w:jc w:val="center"/>
        <w:rPr>
          <w:rFonts w:hint="eastAsia"/>
          <w:szCs w:val="21"/>
        </w:rPr>
      </w:pPr>
      <w:r>
        <w:rPr>
          <w:rFonts w:hint="eastAsia"/>
          <w:szCs w:val="21"/>
        </w:rPr>
        <w:t>（1.贵州大学动物科学学院，贵州贵阳 550000；2. 中国科学院水生生物研究所，湖北武汉 430072；</w:t>
      </w:r>
    </w:p>
    <w:p w14:paraId="68C27052">
      <w:pPr>
        <w:jc w:val="center"/>
        <w:rPr>
          <w:rFonts w:hint="eastAsia"/>
          <w:szCs w:val="21"/>
        </w:rPr>
      </w:pPr>
      <w:r>
        <w:rPr>
          <w:rFonts w:hint="eastAsia"/>
          <w:szCs w:val="21"/>
        </w:rPr>
        <w:t>3. 惠水县农业农村局，贵州惠水 550600；4. 贵州省水产研究所，贵州贵阳 550025）</w:t>
      </w:r>
    </w:p>
    <w:p w14:paraId="7D1299C6">
      <w:pPr>
        <w:rPr>
          <w:rFonts w:hint="eastAsia"/>
          <w:szCs w:val="21"/>
        </w:rPr>
      </w:pPr>
      <w:r>
        <w:rPr>
          <w:b/>
          <w:bCs/>
          <w:szCs w:val="21"/>
        </w:rPr>
        <w:t>摘要</w:t>
      </w:r>
      <w:r>
        <w:rPr>
          <w:rFonts w:hint="eastAsia"/>
          <w:szCs w:val="21"/>
        </w:rPr>
        <w:t>：试验旨在探究五倍子提取物对大口黑鲈生长性能的影响。选取450尾活力好，初始体重约为（10.23±0.05）g的大口黑鲈，分为5组，每组3个重复，每个重复30尾，分别饲喂添加0（对照组，A组）、0.125%（B1组）、0.250%（B2组）、0.375%（B3组）、0.500%（B4组）五倍子提取物的饲料，试验周期90 d。结果表明：①与A组相比，B1、B2组和B3组饲料系数（FCR）显著降低（</w:t>
      </w:r>
      <w:r>
        <w:rPr>
          <w:rFonts w:hint="default" w:ascii="Times New Roman Italic" w:hAnsi="Times New Roman Italic" w:cs="Times New Roman Italic"/>
          <w:i/>
          <w:iCs/>
          <w:szCs w:val="21"/>
        </w:rPr>
        <w:t>P</w:t>
      </w:r>
      <w:r>
        <w:rPr>
          <w:rFonts w:hint="eastAsia"/>
          <w:szCs w:val="21"/>
        </w:rPr>
        <w:t>&lt;0.05），各试验组特定生长率（SGR）、增重率（WGR）和终末体重（FBW）显著提高（</w:t>
      </w:r>
      <w:r>
        <w:rPr>
          <w:rFonts w:hint="default" w:ascii="Times New Roman Italic" w:hAnsi="Times New Roman Italic" w:cs="Times New Roman Italic"/>
          <w:i/>
          <w:iCs/>
          <w:szCs w:val="21"/>
        </w:rPr>
        <w:t>P</w:t>
      </w:r>
      <w:r>
        <w:rPr>
          <w:rFonts w:hint="eastAsia"/>
          <w:szCs w:val="21"/>
        </w:rPr>
        <w:t>&lt;0.05）。②各组之间水分、粗灰分、粗蛋白、粗脂肪无显著差异（</w:t>
      </w:r>
      <w:r>
        <w:rPr>
          <w:rFonts w:hint="default" w:ascii="Times New Roman Italic" w:hAnsi="Times New Roman Italic" w:cs="Times New Roman Italic"/>
          <w:i/>
          <w:iCs/>
          <w:szCs w:val="21"/>
        </w:rPr>
        <w:t>P</w:t>
      </w:r>
      <w:r>
        <w:rPr>
          <w:rFonts w:hint="eastAsia"/>
          <w:szCs w:val="21"/>
        </w:rPr>
        <w:t>&gt;0.05）。③与A组相比，各试验组淀粉酶和胰蛋白酶活性无显著差异（</w:t>
      </w:r>
      <w:r>
        <w:rPr>
          <w:rFonts w:hint="default" w:ascii="Times New Roman Italic" w:hAnsi="Times New Roman Italic" w:cs="Times New Roman Italic"/>
          <w:i/>
          <w:iCs/>
          <w:szCs w:val="21"/>
        </w:rPr>
        <w:t>P</w:t>
      </w:r>
      <w:r>
        <w:rPr>
          <w:rFonts w:hint="eastAsia"/>
          <w:szCs w:val="21"/>
        </w:rPr>
        <w:t>&gt;0.05），但B1组和B3组的脂肪酶活性显著提高（</w:t>
      </w:r>
      <w:r>
        <w:rPr>
          <w:rFonts w:hint="default" w:ascii="Times New Roman Italic" w:hAnsi="Times New Roman Italic" w:cs="Times New Roman Italic"/>
          <w:i/>
          <w:iCs/>
          <w:szCs w:val="21"/>
        </w:rPr>
        <w:t>P</w:t>
      </w:r>
      <w:r>
        <w:rPr>
          <w:rFonts w:hint="eastAsia"/>
          <w:szCs w:val="21"/>
        </w:rPr>
        <w:t>&lt;0.05）。④各组之间超氧化物歧化酶（SOD）、碱性磷酸酶（AKP）和酸性磷酸酶（ACP）活性无显著差异（</w:t>
      </w:r>
      <w:r>
        <w:rPr>
          <w:rFonts w:hint="default" w:ascii="Times New Roman Italic" w:hAnsi="Times New Roman Italic" w:cs="Times New Roman Italic"/>
          <w:i/>
          <w:iCs/>
          <w:szCs w:val="21"/>
        </w:rPr>
        <w:t>P</w:t>
      </w:r>
      <w:r>
        <w:rPr>
          <w:rFonts w:hint="eastAsia"/>
          <w:szCs w:val="21"/>
        </w:rPr>
        <w:t>&gt;0.05）。⑤与A组相比，B3组前肠绒毛数量明显增多。综上所述，在大口黑鲈的饲料中添加适量的五倍子提取物，可有效改善肠道组织形态并降低饲料系数。以增重率为评价指标，五倍子提取物的适宜添加水平为0.375%。</w:t>
      </w:r>
    </w:p>
    <w:p w14:paraId="49213A53">
      <w:pPr>
        <w:rPr>
          <w:szCs w:val="21"/>
        </w:rPr>
      </w:pPr>
      <w:r>
        <w:rPr>
          <w:b/>
          <w:bCs/>
          <w:szCs w:val="21"/>
        </w:rPr>
        <w:t>关键词</w:t>
      </w:r>
      <w:r>
        <w:rPr>
          <w:rFonts w:hint="eastAsia"/>
          <w:szCs w:val="21"/>
        </w:rPr>
        <w:t>：五倍子提取物；大口黑鲈；生长性能；特定生长率；肠道健康</w:t>
      </w:r>
    </w:p>
    <w:p w14:paraId="2AFC245B">
      <w:pPr>
        <w:jc w:val="center"/>
        <w:rPr>
          <w:rFonts w:hint="default" w:ascii="Times New Roman Bold Italic" w:hAnsi="Times New Roman Bold Italic" w:cs="Times New Roman Bold Italic"/>
          <w:b/>
          <w:bCs/>
          <w:i/>
          <w:iCs/>
          <w:sz w:val="24"/>
        </w:rPr>
      </w:pPr>
      <w:r>
        <w:rPr>
          <w:rFonts w:hint="eastAsia"/>
          <w:b/>
          <w:bCs/>
          <w:sz w:val="24"/>
        </w:rPr>
        <w:t>Effects of Gallnut Extract on Growth Performance, Intestinal Tissue and Enzyme Activity of</w:t>
      </w:r>
      <w:r>
        <w:rPr>
          <w:rFonts w:hint="default" w:ascii="Times New Roman Bold Italic" w:hAnsi="Times New Roman Bold Italic" w:cs="Times New Roman Bold Italic"/>
          <w:b/>
          <w:bCs/>
          <w:i/>
          <w:iCs/>
          <w:sz w:val="24"/>
        </w:rPr>
        <w:t xml:space="preserve"> Micropterus salmoides</w:t>
      </w:r>
    </w:p>
    <w:p w14:paraId="04FE31D8">
      <w:pPr>
        <w:jc w:val="center"/>
        <w:rPr>
          <w:rFonts w:hint="eastAsia"/>
          <w:szCs w:val="21"/>
        </w:rPr>
      </w:pPr>
      <w:r>
        <w:rPr>
          <w:rFonts w:hint="eastAsia"/>
          <w:szCs w:val="21"/>
        </w:rPr>
        <w:t>ZHANG Fujia</w:t>
      </w:r>
      <w:r>
        <w:rPr>
          <w:rFonts w:hint="eastAsia"/>
          <w:szCs w:val="21"/>
          <w:vertAlign w:val="superscript"/>
        </w:rPr>
        <w:t>1</w:t>
      </w:r>
      <w:r>
        <w:rPr>
          <w:rFonts w:hint="eastAsia"/>
          <w:szCs w:val="21"/>
        </w:rPr>
        <w:t xml:space="preserve">  KONG Qiuhong</w:t>
      </w:r>
      <w:r>
        <w:rPr>
          <w:rFonts w:hint="eastAsia"/>
          <w:szCs w:val="21"/>
          <w:vertAlign w:val="superscript"/>
        </w:rPr>
        <w:t>2</w:t>
      </w:r>
      <w:r>
        <w:rPr>
          <w:rFonts w:hint="eastAsia"/>
          <w:szCs w:val="21"/>
        </w:rPr>
        <w:t xml:space="preserve">  LUO Shili</w:t>
      </w:r>
      <w:r>
        <w:rPr>
          <w:rFonts w:hint="eastAsia"/>
          <w:szCs w:val="21"/>
          <w:vertAlign w:val="superscript"/>
        </w:rPr>
        <w:t>3</w:t>
      </w:r>
      <w:r>
        <w:rPr>
          <w:rFonts w:hint="eastAsia"/>
          <w:szCs w:val="21"/>
        </w:rPr>
        <w:t xml:space="preserve">  LIU Qiao</w:t>
      </w:r>
      <w:r>
        <w:rPr>
          <w:rFonts w:hint="eastAsia"/>
          <w:szCs w:val="21"/>
          <w:vertAlign w:val="superscript"/>
        </w:rPr>
        <w:t>1</w:t>
      </w:r>
      <w:r>
        <w:rPr>
          <w:rFonts w:hint="eastAsia"/>
          <w:szCs w:val="21"/>
        </w:rPr>
        <w:t xml:space="preserve">  CHEN Dunxue</w:t>
      </w:r>
      <w:r>
        <w:rPr>
          <w:rFonts w:hint="eastAsia"/>
          <w:szCs w:val="21"/>
          <w:vertAlign w:val="superscript"/>
        </w:rPr>
        <w:t>1</w:t>
      </w:r>
    </w:p>
    <w:p w14:paraId="797763AF">
      <w:pPr>
        <w:jc w:val="center"/>
        <w:rPr>
          <w:szCs w:val="21"/>
        </w:rPr>
      </w:pPr>
      <w:r>
        <w:rPr>
          <w:rFonts w:hint="eastAsia"/>
          <w:szCs w:val="21"/>
        </w:rPr>
        <w:t>DU Qiang</w:t>
      </w:r>
      <w:r>
        <w:rPr>
          <w:rFonts w:hint="eastAsia"/>
          <w:szCs w:val="21"/>
          <w:vertAlign w:val="superscript"/>
        </w:rPr>
        <w:t>4</w:t>
      </w:r>
      <w:r>
        <w:rPr>
          <w:rFonts w:hint="eastAsia"/>
          <w:szCs w:val="21"/>
        </w:rPr>
        <w:t xml:space="preserve">  ZHOU Xianjun</w:t>
      </w:r>
      <w:r>
        <w:rPr>
          <w:rFonts w:hint="eastAsia"/>
          <w:szCs w:val="21"/>
          <w:vertAlign w:val="superscript"/>
        </w:rPr>
        <w:t>1*</w:t>
      </w:r>
    </w:p>
    <w:p w14:paraId="17C1B2E6">
      <w:pPr>
        <w:jc w:val="center"/>
        <w:rPr>
          <w:szCs w:val="21"/>
        </w:rPr>
      </w:pPr>
      <w:r>
        <w:rPr>
          <w:szCs w:val="21"/>
        </w:rPr>
        <w:t>(</w:t>
      </w:r>
      <w:r>
        <w:rPr>
          <w:rFonts w:hint="eastAsia"/>
          <w:i/>
          <w:iCs/>
          <w:szCs w:val="21"/>
        </w:rPr>
        <w:t>1.College of Animal Science,Guizhou University,Guizhou Guiyang 550000,China;2.Institute of Hydrobiology,Chinese Academy of Sciences,Hubei Wuhan 430072,China;3.Agriculture and Rural Affairs Bureau of</w:t>
      </w:r>
      <w:r>
        <w:rPr>
          <w:rFonts w:hint="default"/>
          <w:i/>
          <w:iCs/>
          <w:szCs w:val="21"/>
          <w:lang w:val="en-US"/>
        </w:rPr>
        <w:t xml:space="preserve"> </w:t>
      </w:r>
      <w:r>
        <w:rPr>
          <w:rFonts w:hint="eastAsia"/>
          <w:i/>
          <w:iCs/>
          <w:szCs w:val="21"/>
        </w:rPr>
        <w:t>Huishui County,Guizhou Huishui 550600,China;4.Guizhou Institute of Aquatic Products,Guizhou Guiyang</w:t>
      </w:r>
      <w:r>
        <w:rPr>
          <w:rFonts w:hint="default"/>
          <w:i/>
          <w:iCs/>
          <w:szCs w:val="21"/>
          <w:lang w:val="en-US"/>
        </w:rPr>
        <w:t xml:space="preserve"> </w:t>
      </w:r>
      <w:r>
        <w:rPr>
          <w:rFonts w:hint="eastAsia"/>
          <w:i/>
          <w:iCs/>
          <w:szCs w:val="21"/>
        </w:rPr>
        <w:t>550025,China</w:t>
      </w:r>
      <w:r>
        <w:rPr>
          <w:szCs w:val="21"/>
        </w:rPr>
        <w:t>)</w:t>
      </w:r>
    </w:p>
    <w:p w14:paraId="38BCA44E">
      <w:pPr>
        <w:rPr>
          <w:rFonts w:hint="default"/>
          <w:szCs w:val="21"/>
          <w:lang w:val="en-US"/>
        </w:rPr>
      </w:pPr>
      <w:r>
        <w:rPr>
          <w:b/>
          <w:bCs/>
          <w:szCs w:val="21"/>
        </w:rPr>
        <w:t>Abstract</w:t>
      </w:r>
      <w:r>
        <w:rPr>
          <w:rFonts w:hint="eastAsia"/>
          <w:szCs w:val="21"/>
        </w:rPr>
        <w:t>:</w:t>
      </w:r>
      <w:r>
        <w:rPr>
          <w:szCs w:val="21"/>
        </w:rPr>
        <w:t xml:space="preserve"> </w:t>
      </w:r>
      <w:r>
        <w:rPr>
          <w:rFonts w:hint="eastAsia"/>
          <w:szCs w:val="21"/>
        </w:rPr>
        <w:t>Investigating the effects of gallnut extract on the growth and development of Micropterus salmoides. Selecting 450 vigorous individuals with an initial weight of (10.23±0.05) g, divided into 5 groups, each with 3 replicates, and each replicate containing 30 individuals. Each group is fed a diet supplemented with five different concentrations of galla chinensis extract: 0(A), 0.125%(B1), 0.25%(B2), 0.375%(B3) and 0.5% (B4), over a trial period of 90 d. The experimental results indicate that: ① compared to the A group, the feed conversion ratios (FCR) for the B1, B2, and B3 groups significantly decreased (</w:t>
      </w:r>
      <w:r>
        <w:rPr>
          <w:rFonts w:hint="default" w:ascii="Times New Roman Italic" w:hAnsi="Times New Roman Italic" w:cs="Times New Roman Italic"/>
          <w:i/>
          <w:iCs/>
          <w:szCs w:val="21"/>
        </w:rPr>
        <w:t>P</w:t>
      </w:r>
      <w:r>
        <w:rPr>
          <w:rFonts w:hint="eastAsia"/>
          <w:szCs w:val="21"/>
        </w:rPr>
        <w:t>&lt;0.05), while the final specific growth rates (SGR), weight gain rates (WGR), and final body weights (FBW) for each group significantly</w:t>
      </w:r>
      <w:r>
        <w:rPr>
          <w:rFonts w:hint="default"/>
          <w:szCs w:val="21"/>
          <w:lang w:val="en-US"/>
        </w:rPr>
        <w:t xml:space="preserve"> and the groups went up a lot (</w:t>
      </w:r>
      <w:r>
        <w:rPr>
          <w:rFonts w:hint="default" w:ascii="Times New Roman Italic" w:hAnsi="Times New Roman Italic" w:cs="Times New Roman Italic"/>
          <w:i/>
          <w:iCs/>
          <w:szCs w:val="21"/>
          <w:lang w:val="en-US"/>
        </w:rPr>
        <w:t>P</w:t>
      </w:r>
      <w:r>
        <w:rPr>
          <w:rFonts w:hint="default"/>
          <w:szCs w:val="21"/>
          <w:lang w:val="en-US"/>
        </w:rPr>
        <w:t>&lt;0.05). ④ There are no significant differences in superoxide dismutase (SOD), alkaline phosphatase (AKP), and acid phosphatase (ACP) among the groups (</w:t>
      </w:r>
      <w:r>
        <w:rPr>
          <w:rFonts w:hint="default" w:ascii="Times New Roman Italic" w:hAnsi="Times New Roman Italic" w:cs="Times New Roman Italic"/>
          <w:i/>
          <w:iCs/>
          <w:szCs w:val="21"/>
          <w:lang w:val="en-US"/>
        </w:rPr>
        <w:t>P</w:t>
      </w:r>
      <w:r>
        <w:rPr>
          <w:rFonts w:hint="default"/>
          <w:szCs w:val="21"/>
          <w:lang w:val="en-US"/>
        </w:rPr>
        <w:t>&gt;0.05). ⑤ Compared with group A, the number of B3 foregut villi was significantly increased. In summary, adding an appropriate amount of five-needle pine extract to the feed of the Micropterus salmoides can effectively improve intestinal tissue morphology and reduce the feed conversion ratio. Based on the weight gain rate as the evaluation index, the suitable addition level of five-needle pine extract is 0.375%.</w:t>
      </w:r>
    </w:p>
    <w:p w14:paraId="1A3E92E2">
      <w:pPr>
        <w:rPr>
          <w:i w:val="0"/>
          <w:iCs w:val="0"/>
          <w:szCs w:val="21"/>
        </w:rPr>
      </w:pPr>
      <w:r>
        <w:rPr>
          <w:b/>
          <w:bCs/>
          <w:szCs w:val="21"/>
        </w:rPr>
        <w:t>Key words</w:t>
      </w:r>
      <w:r>
        <w:rPr>
          <w:rFonts w:hint="eastAsia"/>
          <w:szCs w:val="21"/>
        </w:rPr>
        <w:t xml:space="preserve">: </w:t>
      </w:r>
      <w:r>
        <w:rPr>
          <w:rFonts w:hint="eastAsia"/>
          <w:i w:val="0"/>
          <w:iCs w:val="0"/>
          <w:szCs w:val="21"/>
        </w:rPr>
        <w:t>galla chinensis extract;</w:t>
      </w:r>
      <w:r>
        <w:rPr>
          <w:rFonts w:hint="eastAsia"/>
          <w:i/>
          <w:iCs/>
          <w:szCs w:val="21"/>
        </w:rPr>
        <w:t xml:space="preserve"> Micropterus salmoides</w:t>
      </w:r>
      <w:r>
        <w:rPr>
          <w:rFonts w:hint="eastAsia"/>
          <w:i w:val="0"/>
          <w:iCs w:val="0"/>
          <w:szCs w:val="21"/>
        </w:rPr>
        <w:t>; growth performance; specific growth rate; intestinal health</w:t>
      </w:r>
    </w:p>
    <w:p w14:paraId="0BB70CB2">
      <w:pPr>
        <w:spacing w:line="360" w:lineRule="auto"/>
        <w:ind w:firstLine="480" w:firstLineChars="200"/>
        <w:rPr>
          <w:rFonts w:hint="eastAsia"/>
          <w:sz w:val="24"/>
        </w:rPr>
      </w:pPr>
      <w:r>
        <w:rPr>
          <w:rFonts w:hint="eastAsia"/>
          <w:sz w:val="24"/>
        </w:rPr>
        <w:t>大口黑鲈（Micropterus salmoides）又称加州鲈，是一种营养丰富的水产品，深受消费者的喜爱。我国大口黑鲈的养殖规模逐年提高，但在养殖过程中因养殖密度过大，导致病害多发，限制了大口黑鲈人工养殖的发展。抗生素最初用于预防和治疗疾病，但随着抗生素的滥用，其耐药性、药物残留和环境污染等问题日益凸显，引发人们对环境和食品安全的担忧</w:t>
      </w:r>
      <w:r>
        <w:rPr>
          <w:rFonts w:hint="eastAsia"/>
          <w:sz w:val="24"/>
          <w:vertAlign w:val="superscript"/>
        </w:rPr>
        <w:t>[1]</w:t>
      </w:r>
      <w:r>
        <w:rPr>
          <w:rFonts w:hint="eastAsia"/>
          <w:sz w:val="24"/>
        </w:rPr>
        <w:t>。因此，急需寻求一种安全、绿色、无污染的饲料添加剂，在改善大口黑鲈生长性能的同时预防病害发生，以实现大口黑鲈的绿色养殖。</w:t>
      </w:r>
    </w:p>
    <w:p w14:paraId="77D3FF23">
      <w:pPr>
        <w:spacing w:line="360" w:lineRule="auto"/>
        <w:ind w:firstLine="480" w:firstLineChars="200"/>
        <w:rPr>
          <w:rFonts w:hint="eastAsia"/>
          <w:sz w:val="24"/>
        </w:rPr>
      </w:pPr>
      <w:r>
        <w:rPr>
          <w:rFonts w:hint="eastAsia"/>
          <w:sz w:val="24"/>
        </w:rPr>
        <w:t>中草药具有无污染、低残留的特点,符合我国鱼药未来发展的目标，受到了人们的关注</w:t>
      </w:r>
      <w:r>
        <w:rPr>
          <w:rFonts w:hint="eastAsia"/>
          <w:sz w:val="24"/>
          <w:vertAlign w:val="superscript"/>
        </w:rPr>
        <w:t>[2]</w:t>
      </w:r>
      <w:r>
        <w:rPr>
          <w:rFonts w:hint="eastAsia"/>
          <w:sz w:val="24"/>
        </w:rPr>
        <w:t>。五倍子是我国重要的中草药资源之一，自唐朝开始已有药用记载</w:t>
      </w:r>
      <w:r>
        <w:rPr>
          <w:rFonts w:hint="eastAsia"/>
          <w:sz w:val="24"/>
          <w:vertAlign w:val="superscript"/>
        </w:rPr>
        <w:t>[3]</w:t>
      </w:r>
      <w:r>
        <w:rPr>
          <w:rFonts w:hint="eastAsia"/>
          <w:sz w:val="24"/>
        </w:rPr>
        <w:t>。五倍子是由五倍子蚜寄生在漆树科植物上产生的虫瘿形成，具有多种生物活性功能，如止泻</w:t>
      </w:r>
      <w:r>
        <w:rPr>
          <w:rFonts w:hint="eastAsia"/>
          <w:sz w:val="24"/>
          <w:vertAlign w:val="superscript"/>
        </w:rPr>
        <w:t>[4]</w:t>
      </w:r>
      <w:r>
        <w:rPr>
          <w:rFonts w:hint="eastAsia"/>
          <w:sz w:val="24"/>
        </w:rPr>
        <w:t>、抗菌</w:t>
      </w:r>
      <w:r>
        <w:rPr>
          <w:rFonts w:hint="eastAsia"/>
          <w:sz w:val="24"/>
          <w:vertAlign w:val="superscript"/>
        </w:rPr>
        <w:t>[5]</w:t>
      </w:r>
      <w:r>
        <w:rPr>
          <w:rFonts w:hint="eastAsia"/>
          <w:sz w:val="24"/>
        </w:rPr>
        <w:t>、抗氧化</w:t>
      </w:r>
      <w:r>
        <w:rPr>
          <w:rFonts w:hint="eastAsia"/>
          <w:sz w:val="24"/>
          <w:vertAlign w:val="superscript"/>
        </w:rPr>
        <w:t>[6-7]</w:t>
      </w:r>
      <w:r>
        <w:rPr>
          <w:rFonts w:hint="eastAsia"/>
          <w:sz w:val="24"/>
        </w:rPr>
        <w:t>、促进伤口愈合</w:t>
      </w:r>
      <w:r>
        <w:rPr>
          <w:rFonts w:hint="eastAsia"/>
          <w:sz w:val="24"/>
          <w:vertAlign w:val="superscript"/>
        </w:rPr>
        <w:t>[8]</w:t>
      </w:r>
      <w:r>
        <w:rPr>
          <w:rFonts w:hint="eastAsia"/>
          <w:sz w:val="24"/>
        </w:rPr>
        <w:t>等作用，但在水产动物中研究较少。本试验将不同剂量的五倍子提取物添加在大口黑鲈饲粮中，探究其对生长性能及肠道健康的影响，旨在为大口黑鲈健康养殖提供参考依据。</w:t>
      </w:r>
    </w:p>
    <w:p w14:paraId="0AA15074">
      <w:pPr>
        <w:spacing w:line="360" w:lineRule="auto"/>
        <w:ind w:firstLine="480" w:firstLineChars="200"/>
        <w:rPr>
          <w:rFonts w:hint="eastAsia"/>
          <w:sz w:val="24"/>
        </w:rPr>
      </w:pPr>
      <w:r>
        <w:rPr>
          <w:rFonts w:hint="eastAsia"/>
          <w:sz w:val="24"/>
        </w:rPr>
        <w:t>1材料与方法</w:t>
      </w:r>
    </w:p>
    <w:p w14:paraId="28BA464C">
      <w:pPr>
        <w:spacing w:line="360" w:lineRule="auto"/>
        <w:ind w:firstLine="480" w:firstLineChars="200"/>
        <w:rPr>
          <w:rFonts w:hint="eastAsia"/>
          <w:sz w:val="24"/>
        </w:rPr>
      </w:pPr>
      <w:r>
        <w:rPr>
          <w:rFonts w:hint="eastAsia"/>
          <w:sz w:val="24"/>
        </w:rPr>
        <w:t>1.1试验设计和饲料配制</w:t>
      </w:r>
    </w:p>
    <w:p w14:paraId="5A8A033E">
      <w:pPr>
        <w:spacing w:line="360" w:lineRule="auto"/>
        <w:ind w:firstLine="480" w:firstLineChars="200"/>
        <w:rPr>
          <w:rFonts w:hint="eastAsia"/>
          <w:sz w:val="24"/>
        </w:rPr>
      </w:pPr>
      <w:r>
        <w:rPr>
          <w:rFonts w:hint="eastAsia"/>
          <w:sz w:val="24"/>
        </w:rPr>
        <w:t>选取450尾活力好，初始体重约为（10.23±0.05）g的大口黑鲈，分为5组，每组3个重复，每个重复30尾。根据试验鱼基础营养需求</w:t>
      </w:r>
      <w:r>
        <w:rPr>
          <w:rFonts w:hint="eastAsia"/>
          <w:sz w:val="24"/>
          <w:vertAlign w:val="superscript"/>
        </w:rPr>
        <w:t>[9]</w:t>
      </w:r>
      <w:r>
        <w:rPr>
          <w:rFonts w:hint="eastAsia"/>
          <w:sz w:val="24"/>
        </w:rPr>
        <w:t>，制作试验饲料。在基础饲粮中分别添加0(对照组，A组)、0.125%(B1组)、0.250%(B2组)、0.375%(B3组)、0.500%(B4组)的五倍子提取物（五倍子提取物由贵阳某公司提供，其中有效成分为单宁酸40%和鞣花酸5%），制作5种等氮等脂饲料，置于65℃烘箱烘干后，-18℃冰箱冷藏。基础饲粮组成及营养水平见表1。</w:t>
      </w:r>
    </w:p>
    <w:p w14:paraId="3BD3D190">
      <w:pPr>
        <w:spacing w:line="360" w:lineRule="auto"/>
        <w:ind w:firstLine="480" w:firstLineChars="200"/>
        <w:rPr>
          <w:rFonts w:hint="eastAsia"/>
          <w:sz w:val="24"/>
        </w:rPr>
      </w:pPr>
      <w:r>
        <w:rPr>
          <w:rFonts w:hint="eastAsia"/>
          <w:sz w:val="24"/>
        </w:rPr>
        <w:t>1.2试验管理</w:t>
      </w:r>
    </w:p>
    <w:p w14:paraId="08F3CD90">
      <w:pPr>
        <w:spacing w:line="360" w:lineRule="auto"/>
        <w:ind w:firstLine="480" w:firstLineChars="200"/>
        <w:rPr>
          <w:rFonts w:hint="eastAsia"/>
          <w:sz w:val="24"/>
        </w:rPr>
      </w:pPr>
      <w:r>
        <w:rPr>
          <w:rFonts w:hint="eastAsia"/>
          <w:sz w:val="24"/>
        </w:rPr>
        <w:t>试验鱼从贵州某渔业科技有限公司购买。试验鱼置于循环水养殖缸（直径3m×高1 m）中，试验期间水深0.65 m，持续供氧。水温为20.5~22.0°C，溶氧浓度&gt;6.0 mg/L，pH为7.2~7.5，氨氮浓度≤0.25 mg/L，亚硝酸盐≤0.1 mg/L。试验周期为90 d。经暂养7 d驯养后，挑选健康活力好、体重相似的试验鱼进行分组，设置5个处理组，每组3个平行。每缸随机放入初始体重为（10.23±0.05)g的大口黑鲈30尾。每日投喂2次（9：00和17：00），在试验鱼不抢食后停止饲喂。饲喂结束30 min后，采用虹吸法清除残饵和粪便。在试验过程中，记录各养殖缸死亡条数和摄食等情况。</w:t>
      </w:r>
    </w:p>
    <w:p w14:paraId="22A7AEDB">
      <w:pPr>
        <w:spacing w:line="360" w:lineRule="auto"/>
        <w:ind w:firstLine="480" w:firstLineChars="200"/>
        <w:rPr>
          <w:rFonts w:hint="eastAsia"/>
          <w:sz w:val="24"/>
        </w:rPr>
      </w:pPr>
      <w:r>
        <w:rPr>
          <w:rFonts w:hint="eastAsia"/>
          <w:sz w:val="24"/>
        </w:rPr>
        <w:t>1.3样品采集</w:t>
      </w:r>
    </w:p>
    <w:p w14:paraId="302F1B3B">
      <w:pPr>
        <w:spacing w:line="360" w:lineRule="auto"/>
        <w:ind w:firstLine="480" w:firstLineChars="200"/>
        <w:rPr>
          <w:rFonts w:hint="eastAsia"/>
          <w:sz w:val="24"/>
        </w:rPr>
      </w:pPr>
      <w:r>
        <w:rPr>
          <w:rFonts w:hint="eastAsia"/>
          <w:sz w:val="24"/>
        </w:rPr>
        <w:t>采集样品前24 h停止饲喂，需记录每缸存活数量、体长及总重量。每缸随机抽取3尾试验鱼置于-20℃冰箱中保存，测定全鱼营养成分。每缸随机抽选3尾试验鱼在其尾静脉抽血，血样静置于4℃环境4 h后离心（10 min、4℃、3 500 r/min），抽取上清液，置于-80°C冰箱中保存，用于测血清酶活性。每缸随机抽选3尾试验鱼在冰面上解剖，取出肠道和肝脏，置于-80°C冰箱保存，用于测肝脏粗脂肪含量和酶活性。每缸随机抽取3尾试验鱼剖取肠道，置于4%多聚甲醛浸泡固定，制作切片。</w:t>
      </w:r>
    </w:p>
    <w:p w14:paraId="6E84096E">
      <w:pPr>
        <w:spacing w:line="360" w:lineRule="auto"/>
        <w:ind w:firstLine="480" w:firstLineChars="200"/>
        <w:rPr>
          <w:rFonts w:hint="eastAsia"/>
          <w:sz w:val="24"/>
        </w:rPr>
      </w:pPr>
      <w:r>
        <w:rPr>
          <w:rFonts w:hint="eastAsia"/>
          <w:sz w:val="24"/>
        </w:rPr>
        <w:t>1.4指标测定</w:t>
      </w:r>
    </w:p>
    <w:p w14:paraId="69C1B69A">
      <w:pPr>
        <w:spacing w:line="360" w:lineRule="auto"/>
        <w:ind w:firstLine="480" w:firstLineChars="200"/>
        <w:rPr>
          <w:rFonts w:hint="eastAsia"/>
          <w:sz w:val="24"/>
        </w:rPr>
      </w:pPr>
      <w:r>
        <w:rPr>
          <w:rFonts w:hint="eastAsia"/>
          <w:sz w:val="24"/>
        </w:rPr>
        <w:t>1.4.1生长性能</w:t>
      </w:r>
    </w:p>
    <w:p w14:paraId="6B217400">
      <w:pPr>
        <w:spacing w:line="360" w:lineRule="auto"/>
        <w:ind w:firstLine="480" w:firstLineChars="200"/>
        <w:rPr>
          <w:rFonts w:hint="eastAsia"/>
          <w:sz w:val="24"/>
        </w:rPr>
      </w:pPr>
      <w:r>
        <w:rPr>
          <w:rFonts w:hint="eastAsia"/>
          <w:sz w:val="24"/>
        </w:rPr>
        <w:t>增重率(WGR，%)=[终末体重(g)-初始体重(g)]/初始体重×100</w:t>
      </w:r>
    </w:p>
    <w:p w14:paraId="31E8D0E5">
      <w:pPr>
        <w:spacing w:line="360" w:lineRule="auto"/>
        <w:ind w:firstLine="480" w:firstLineChars="200"/>
        <w:rPr>
          <w:rFonts w:hint="eastAsia"/>
          <w:sz w:val="24"/>
        </w:rPr>
      </w:pPr>
      <w:r>
        <w:rPr>
          <w:rFonts w:hint="eastAsia"/>
          <w:sz w:val="24"/>
        </w:rPr>
        <w:t>特定生长率(SGR，％/d)=[ln终末体重(g)-初始体重(g)]/试验天数×100</w:t>
      </w:r>
    </w:p>
    <w:p w14:paraId="62763ACE">
      <w:pPr>
        <w:spacing w:line="360" w:lineRule="auto"/>
        <w:ind w:firstLine="480" w:firstLineChars="200"/>
        <w:rPr>
          <w:rFonts w:hint="eastAsia"/>
          <w:sz w:val="24"/>
        </w:rPr>
      </w:pPr>
      <w:r>
        <w:rPr>
          <w:rFonts w:hint="eastAsia"/>
          <w:sz w:val="24"/>
        </w:rPr>
        <w:t>饲料系数(FCR)=总摄食的饲料量(g)/[终末体重(g)-初始体重(g)]</w:t>
      </w:r>
    </w:p>
    <w:p w14:paraId="2C42C906">
      <w:pPr>
        <w:spacing w:line="360" w:lineRule="auto"/>
        <w:ind w:firstLine="480" w:firstLineChars="200"/>
        <w:rPr>
          <w:rFonts w:hint="eastAsia"/>
          <w:sz w:val="24"/>
        </w:rPr>
      </w:pPr>
      <w:r>
        <w:rPr>
          <w:rFonts w:hint="eastAsia"/>
          <w:sz w:val="24"/>
        </w:rPr>
        <w:t>肥满度(CF，g/cm3)=终末体重(g)/[体长(cm)]3×100肝体比(HSI，%)=[肝脏重量(g)/终末体重(g)]×100存活率(SR，％)=（终末尾数/初始尾数）×100</w:t>
      </w:r>
    </w:p>
    <w:p w14:paraId="7FBE5757">
      <w:pPr>
        <w:spacing w:line="360" w:lineRule="auto"/>
        <w:ind w:firstLine="420" w:firstLineChars="200"/>
        <w:rPr>
          <w:rFonts w:hint="eastAsia"/>
          <w:sz w:val="24"/>
        </w:rPr>
      </w:pPr>
      <w:r>
        <w:drawing>
          <wp:anchor distT="0" distB="0" distL="114300" distR="114300" simplePos="0" relativeHeight="251688960" behindDoc="0" locked="0" layoutInCell="1" allowOverlap="1">
            <wp:simplePos x="0" y="0"/>
            <wp:positionH relativeFrom="column">
              <wp:posOffset>215265</wp:posOffset>
            </wp:positionH>
            <wp:positionV relativeFrom="paragraph">
              <wp:posOffset>361950</wp:posOffset>
            </wp:positionV>
            <wp:extent cx="5859145" cy="4113530"/>
            <wp:effectExtent l="0" t="0" r="8255" b="1270"/>
            <wp:wrapTopAndBottom/>
            <wp:docPr id="4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5"/>
                    <pic:cNvPicPr>
                      <a:picLocks noChangeAspect="1"/>
                    </pic:cNvPicPr>
                  </pic:nvPicPr>
                  <pic:blipFill>
                    <a:blip r:embed="rId30"/>
                    <a:stretch>
                      <a:fillRect/>
                    </a:stretch>
                  </pic:blipFill>
                  <pic:spPr>
                    <a:xfrm>
                      <a:off x="0" y="0"/>
                      <a:ext cx="5859145" cy="4113530"/>
                    </a:xfrm>
                    <a:prstGeom prst="rect">
                      <a:avLst/>
                    </a:prstGeom>
                    <a:noFill/>
                    <a:ln>
                      <a:noFill/>
                    </a:ln>
                  </pic:spPr>
                </pic:pic>
              </a:graphicData>
            </a:graphic>
          </wp:anchor>
        </w:drawing>
      </w:r>
      <w:r>
        <w:rPr>
          <w:rFonts w:hint="eastAsia"/>
          <w:sz w:val="24"/>
        </w:rPr>
        <w:t>摄食率(FR)=总摄食的饲料量(g)/｛试验天数×[（初始体重(g)+终末体重(g)]/2｝×100</w:t>
      </w:r>
    </w:p>
    <w:p w14:paraId="440865A3">
      <w:pPr>
        <w:rPr>
          <w:rFonts w:hint="eastAsia" w:ascii="宋体" w:hAnsi="宋体" w:cs="宋体"/>
          <w:sz w:val="24"/>
        </w:rPr>
      </w:pPr>
    </w:p>
    <w:p w14:paraId="2D7518FA">
      <w:pPr>
        <w:rPr>
          <w:rFonts w:hint="eastAsia" w:ascii="宋体" w:hAnsi="宋体" w:cs="宋体"/>
          <w:sz w:val="24"/>
        </w:rPr>
      </w:pPr>
    </w:p>
    <w:p w14:paraId="295D6288">
      <w:pPr>
        <w:rPr>
          <w:rFonts w:hint="eastAsia" w:ascii="宋体" w:hAnsi="宋体" w:cs="宋体"/>
          <w:sz w:val="24"/>
        </w:rPr>
      </w:pPr>
    </w:p>
    <w:p w14:paraId="6A9DB349">
      <w:pPr>
        <w:spacing w:line="360" w:lineRule="auto"/>
        <w:ind w:firstLine="480" w:firstLineChars="200"/>
        <w:rPr>
          <w:rFonts w:hint="eastAsia" w:eastAsia="宋体"/>
          <w:sz w:val="24"/>
        </w:rPr>
      </w:pPr>
      <w:r>
        <w:rPr>
          <w:rFonts w:hint="eastAsia" w:eastAsia="宋体"/>
          <w:sz w:val="24"/>
        </w:rPr>
        <w:t>1.4.2组织切片</w:t>
      </w:r>
    </w:p>
    <w:p w14:paraId="78C6403D">
      <w:pPr>
        <w:spacing w:line="360" w:lineRule="auto"/>
        <w:ind w:firstLine="480" w:firstLineChars="200"/>
        <w:rPr>
          <w:rFonts w:hint="eastAsia" w:eastAsia="宋体"/>
          <w:sz w:val="24"/>
        </w:rPr>
      </w:pPr>
      <w:r>
        <w:rPr>
          <w:rFonts w:hint="eastAsia" w:eastAsia="宋体"/>
          <w:sz w:val="24"/>
        </w:rPr>
        <w:t>将固定在4%多聚甲醛溶液中的肠道组织取出，进行逐步脱水、包埋后切片和苏木精伊红（H.E.）染色，用中性树胶封片后使用显微镜观察肠道组织结构并记录。</w:t>
      </w:r>
    </w:p>
    <w:p w14:paraId="117AB4AC">
      <w:pPr>
        <w:spacing w:line="360" w:lineRule="auto"/>
        <w:ind w:firstLine="480" w:firstLineChars="200"/>
        <w:rPr>
          <w:rFonts w:hint="eastAsia" w:eastAsia="宋体"/>
          <w:sz w:val="24"/>
        </w:rPr>
      </w:pPr>
      <w:r>
        <w:rPr>
          <w:rFonts w:hint="eastAsia" w:eastAsia="宋体"/>
          <w:sz w:val="24"/>
        </w:rPr>
        <w:t>1.4.3血清及肠道酶活性</w:t>
      </w:r>
    </w:p>
    <w:p w14:paraId="49507FF0">
      <w:pPr>
        <w:spacing w:line="360" w:lineRule="auto"/>
        <w:ind w:firstLine="480" w:firstLineChars="200"/>
        <w:rPr>
          <w:rFonts w:hint="eastAsia" w:eastAsia="宋体"/>
          <w:sz w:val="24"/>
        </w:rPr>
      </w:pPr>
      <w:r>
        <w:rPr>
          <w:rFonts w:hint="eastAsia" w:eastAsia="宋体"/>
          <w:sz w:val="24"/>
        </w:rPr>
        <w:t>使用试剂盒（南京建成生物工程研究有限公司）测定肠道淀粉酶（AMS）、脂肪酶（LPS）和胰蛋白酶活性和血清中超氧化物歧化酶（SOD）、碱性磷酸酶（AKP）、酸性磷酸酶（ACP）活性，在测量过程中严格遵守说明书操作，保证结果准确性。</w:t>
      </w:r>
    </w:p>
    <w:p w14:paraId="28FA5550">
      <w:pPr>
        <w:spacing w:line="360" w:lineRule="auto"/>
        <w:ind w:firstLine="480" w:firstLineChars="200"/>
        <w:rPr>
          <w:rFonts w:hint="eastAsia" w:eastAsia="宋体"/>
          <w:sz w:val="24"/>
        </w:rPr>
      </w:pPr>
      <w:r>
        <w:rPr>
          <w:rFonts w:hint="eastAsia" w:eastAsia="宋体"/>
          <w:sz w:val="24"/>
        </w:rPr>
        <w:t>1.4.4体组成测定</w:t>
      </w:r>
    </w:p>
    <w:p w14:paraId="73A2F339">
      <w:pPr>
        <w:spacing w:line="360" w:lineRule="auto"/>
        <w:ind w:firstLine="480" w:firstLineChars="200"/>
        <w:rPr>
          <w:rFonts w:hint="eastAsia" w:eastAsia="宋体"/>
          <w:sz w:val="24"/>
        </w:rPr>
      </w:pPr>
      <w:r>
        <w:rPr>
          <w:rFonts w:hint="eastAsia" w:eastAsia="宋体"/>
          <w:sz w:val="24"/>
        </w:rPr>
        <w:t>饲料成分和全鱼体成分测定方法均参照AOAC（2006）</w:t>
      </w:r>
      <w:r>
        <w:rPr>
          <w:rFonts w:hint="eastAsia" w:eastAsia="宋体"/>
          <w:sz w:val="24"/>
          <w:vertAlign w:val="superscript"/>
        </w:rPr>
        <w:t>[10]</w:t>
      </w:r>
      <w:r>
        <w:rPr>
          <w:rFonts w:hint="eastAsia" w:eastAsia="宋体"/>
          <w:sz w:val="24"/>
        </w:rPr>
        <w:t>的方法测定水分（930.15）、粗灰分（942.05）、粗蛋白（984.13）和粗脂肪（920.39）含量。</w:t>
      </w:r>
    </w:p>
    <w:p w14:paraId="7F3FB9B2">
      <w:pPr>
        <w:spacing w:line="360" w:lineRule="auto"/>
        <w:ind w:firstLine="480" w:firstLineChars="200"/>
        <w:rPr>
          <w:rFonts w:hint="eastAsia" w:eastAsia="宋体"/>
          <w:sz w:val="24"/>
        </w:rPr>
      </w:pPr>
      <w:r>
        <w:rPr>
          <w:rFonts w:hint="eastAsia" w:eastAsia="宋体"/>
          <w:sz w:val="24"/>
        </w:rPr>
        <w:t>1.5数据分析</w:t>
      </w:r>
    </w:p>
    <w:p w14:paraId="26552009">
      <w:pPr>
        <w:spacing w:line="360" w:lineRule="auto"/>
        <w:ind w:firstLine="480" w:firstLineChars="200"/>
        <w:rPr>
          <w:rFonts w:hint="eastAsia" w:eastAsia="宋体"/>
          <w:sz w:val="24"/>
        </w:rPr>
      </w:pPr>
      <w:r>
        <w:rPr>
          <w:rFonts w:hint="eastAsia" w:eastAsia="宋体"/>
          <w:sz w:val="24"/>
        </w:rPr>
        <w:t>使用SPSS 22.0对数据进行单因素方差分析，用Duncan’s法进行多重比较检验，数据以“平均值±标准差”来表示，</w:t>
      </w:r>
      <w:r>
        <w:rPr>
          <w:rFonts w:hint="default" w:ascii="Times New Roman Italic" w:hAnsi="Times New Roman Italic" w:eastAsia="宋体" w:cs="Times New Roman Italic"/>
          <w:i/>
          <w:iCs/>
          <w:sz w:val="24"/>
        </w:rPr>
        <w:t>P</w:t>
      </w:r>
      <w:r>
        <w:rPr>
          <w:rFonts w:hint="eastAsia" w:eastAsia="宋体"/>
          <w:sz w:val="24"/>
        </w:rPr>
        <w:t>&lt;0.05表示差异显著。</w:t>
      </w:r>
    </w:p>
    <w:p w14:paraId="7956623C">
      <w:pPr>
        <w:spacing w:line="360" w:lineRule="auto"/>
        <w:ind w:firstLine="480" w:firstLineChars="200"/>
        <w:rPr>
          <w:rFonts w:hint="eastAsia" w:eastAsia="宋体"/>
          <w:sz w:val="24"/>
        </w:rPr>
      </w:pPr>
      <w:r>
        <w:rPr>
          <w:rFonts w:hint="eastAsia" w:eastAsia="宋体"/>
          <w:sz w:val="24"/>
        </w:rPr>
        <w:t>2结果与分析</w:t>
      </w:r>
    </w:p>
    <w:p w14:paraId="017C9532">
      <w:pPr>
        <w:spacing w:line="360" w:lineRule="auto"/>
        <w:ind w:firstLine="480" w:firstLineChars="200"/>
        <w:rPr>
          <w:rFonts w:hint="eastAsia" w:eastAsia="宋体"/>
          <w:sz w:val="24"/>
        </w:rPr>
      </w:pPr>
      <w:r>
        <w:rPr>
          <w:rFonts w:hint="eastAsia" w:eastAsia="宋体"/>
          <w:sz w:val="24"/>
        </w:rPr>
        <w:t>2.1五倍子提取物对大口黑鲈生长性能的影响</w:t>
      </w:r>
    </w:p>
    <w:p w14:paraId="19618805">
      <w:pPr>
        <w:spacing w:line="360" w:lineRule="auto"/>
        <w:ind w:firstLine="480" w:firstLineChars="200"/>
        <w:rPr>
          <w:rFonts w:hint="eastAsia" w:eastAsia="宋体"/>
          <w:sz w:val="24"/>
        </w:rPr>
      </w:pPr>
      <w:r>
        <w:rPr>
          <w:rFonts w:hint="eastAsia" w:eastAsia="宋体"/>
          <w:sz w:val="24"/>
        </w:rPr>
        <w:t>由表2可知，与A组相比，B1、B2组和B3组的饲料系数显著降低（</w:t>
      </w:r>
      <w:r>
        <w:rPr>
          <w:rFonts w:hint="default" w:ascii="Times New Roman Italic" w:hAnsi="Times New Roman Italic" w:eastAsia="宋体" w:cs="Times New Roman Italic"/>
          <w:i/>
          <w:iCs/>
          <w:sz w:val="24"/>
        </w:rPr>
        <w:t>P</w:t>
      </w:r>
      <w:r>
        <w:rPr>
          <w:rFonts w:hint="eastAsia" w:eastAsia="宋体"/>
          <w:sz w:val="24"/>
        </w:rPr>
        <w:t>&lt;0.05），B1、B2、B3组和B4组特定生长率、终末体重和增重率显著提高（</w:t>
      </w:r>
      <w:r>
        <w:rPr>
          <w:rFonts w:hint="default" w:ascii="Times New Roman Italic" w:hAnsi="Times New Roman Italic" w:eastAsia="宋体" w:cs="Times New Roman Italic"/>
          <w:i/>
          <w:iCs/>
          <w:sz w:val="24"/>
        </w:rPr>
        <w:t>P</w:t>
      </w:r>
      <w:r>
        <w:rPr>
          <w:rFonts w:hint="eastAsia" w:eastAsia="宋体"/>
          <w:sz w:val="24"/>
        </w:rPr>
        <w:t>&lt;0.05），摄食率、存活率、肥满度和肝体比无显著差异（</w:t>
      </w:r>
      <w:r>
        <w:rPr>
          <w:rFonts w:hint="default" w:ascii="Times New Roman Italic" w:hAnsi="Times New Roman Italic" w:eastAsia="宋体" w:cs="Times New Roman Italic"/>
          <w:i/>
          <w:iCs/>
          <w:sz w:val="24"/>
        </w:rPr>
        <w:t>P</w:t>
      </w:r>
      <w:r>
        <w:rPr>
          <w:rFonts w:hint="eastAsia" w:eastAsia="宋体"/>
          <w:sz w:val="24"/>
        </w:rPr>
        <w:t>&gt;0.05）。</w:t>
      </w:r>
    </w:p>
    <w:p w14:paraId="7614E196">
      <w:pPr>
        <w:spacing w:line="360" w:lineRule="auto"/>
        <w:ind w:firstLine="480" w:firstLineChars="200"/>
        <w:rPr>
          <w:rFonts w:hint="eastAsia" w:eastAsia="宋体"/>
          <w:sz w:val="24"/>
        </w:rPr>
      </w:pPr>
      <w:r>
        <w:rPr>
          <w:rFonts w:hint="eastAsia" w:eastAsia="宋体"/>
          <w:sz w:val="24"/>
        </w:rPr>
        <w:t>2.2五倍子提取物对大口黑鲈体成分的影响</w:t>
      </w:r>
    </w:p>
    <w:p w14:paraId="758167DB">
      <w:pPr>
        <w:spacing w:line="360" w:lineRule="auto"/>
        <w:ind w:firstLine="480" w:firstLineChars="200"/>
        <w:rPr>
          <w:rFonts w:hint="eastAsia" w:eastAsia="宋体"/>
          <w:sz w:val="24"/>
        </w:rPr>
      </w:pPr>
      <w:r>
        <w:rPr>
          <w:rFonts w:hint="eastAsia" w:eastAsia="宋体"/>
          <w:sz w:val="24"/>
        </w:rPr>
        <w:t>由表3可知，大口黑鲈体成分各组之间无显著差异（</w:t>
      </w:r>
      <w:r>
        <w:rPr>
          <w:rFonts w:hint="default" w:ascii="Times New Roman Italic" w:hAnsi="Times New Roman Italic" w:eastAsia="宋体" w:cs="Times New Roman Italic"/>
          <w:i/>
          <w:iCs/>
          <w:sz w:val="24"/>
        </w:rPr>
        <w:t>P</w:t>
      </w:r>
      <w:r>
        <w:rPr>
          <w:rFonts w:hint="eastAsia" w:eastAsia="宋体"/>
          <w:sz w:val="24"/>
        </w:rPr>
        <w:t>&gt;0.05）。</w:t>
      </w:r>
    </w:p>
    <w:p w14:paraId="471CCCF3">
      <w:pPr>
        <w:spacing w:line="360" w:lineRule="auto"/>
        <w:ind w:firstLine="480" w:firstLineChars="200"/>
        <w:rPr>
          <w:rFonts w:hint="eastAsia" w:eastAsia="宋体"/>
          <w:sz w:val="24"/>
        </w:rPr>
      </w:pPr>
      <w:r>
        <w:rPr>
          <w:rFonts w:hint="eastAsia" w:eastAsia="宋体"/>
          <w:sz w:val="24"/>
        </w:rPr>
        <w:t>2.3五倍子提取物对大口黑鲈肠道消化酶活性影响</w:t>
      </w:r>
    </w:p>
    <w:p w14:paraId="3F1D0839">
      <w:pPr>
        <w:spacing w:line="360" w:lineRule="auto"/>
        <w:ind w:firstLine="480" w:firstLineChars="200"/>
        <w:rPr>
          <w:rFonts w:hint="eastAsia" w:eastAsia="宋体"/>
          <w:sz w:val="24"/>
        </w:rPr>
      </w:pPr>
      <w:r>
        <w:rPr>
          <w:rFonts w:hint="eastAsia" w:eastAsia="宋体"/>
          <w:sz w:val="24"/>
        </w:rPr>
        <w:t>由表4可知，与A组相比，B1组和B3组的脂肪酶活性显著提高（</w:t>
      </w:r>
      <w:r>
        <w:rPr>
          <w:rFonts w:hint="default" w:ascii="Times New Roman Italic" w:hAnsi="Times New Roman Italic" w:eastAsia="宋体" w:cs="Times New Roman Italic"/>
          <w:i/>
          <w:iCs/>
          <w:sz w:val="24"/>
        </w:rPr>
        <w:t>P</w:t>
      </w:r>
      <w:r>
        <w:rPr>
          <w:rFonts w:hint="eastAsia" w:eastAsia="宋体"/>
          <w:sz w:val="24"/>
        </w:rPr>
        <w:t>&lt;0.05），淀粉酶和胰蛋白酶各组间无显著差异（</w:t>
      </w:r>
      <w:r>
        <w:rPr>
          <w:rFonts w:hint="default" w:ascii="Times New Roman Italic" w:hAnsi="Times New Roman Italic" w:eastAsia="宋体" w:cs="Times New Roman Italic"/>
          <w:i/>
          <w:iCs/>
          <w:sz w:val="24"/>
        </w:rPr>
        <w:t>P</w:t>
      </w:r>
      <w:r>
        <w:rPr>
          <w:rFonts w:hint="eastAsia" w:eastAsia="宋体"/>
          <w:sz w:val="24"/>
        </w:rPr>
        <w:t>&gt;0.05）。</w:t>
      </w:r>
    </w:p>
    <w:p w14:paraId="300C861B">
      <w:pPr>
        <w:spacing w:line="360" w:lineRule="auto"/>
        <w:ind w:firstLine="480" w:firstLineChars="200"/>
        <w:rPr>
          <w:rFonts w:hint="eastAsia" w:eastAsia="宋体"/>
          <w:sz w:val="24"/>
        </w:rPr>
      </w:pPr>
      <w:r>
        <w:rPr>
          <w:rFonts w:hint="eastAsia" w:eastAsia="宋体"/>
          <w:sz w:val="24"/>
        </w:rPr>
        <w:t>2.4五倍子提取物对大口黑鲈血清抗氧化指标影响</w:t>
      </w:r>
    </w:p>
    <w:p w14:paraId="13E7CB29">
      <w:pPr>
        <w:spacing w:line="360" w:lineRule="auto"/>
        <w:ind w:firstLine="480" w:firstLineChars="200"/>
        <w:rPr>
          <w:rFonts w:hint="eastAsia" w:eastAsia="宋体"/>
          <w:sz w:val="24"/>
        </w:rPr>
      </w:pPr>
      <w:r>
        <w:rPr>
          <w:rFonts w:hint="eastAsia" w:eastAsia="宋体"/>
          <w:sz w:val="24"/>
        </w:rPr>
        <w:t>由表5可知，五倍子提取物对大口黑鲈血清抗氧化与非特异性免疫指标各组之间无显著差异（</w:t>
      </w:r>
      <w:r>
        <w:rPr>
          <w:rFonts w:hint="default" w:ascii="Times New Roman Italic" w:hAnsi="Times New Roman Italic" w:eastAsia="宋体" w:cs="Times New Roman Italic"/>
          <w:i/>
          <w:iCs/>
          <w:sz w:val="24"/>
        </w:rPr>
        <w:t>P</w:t>
      </w:r>
      <w:r>
        <w:rPr>
          <w:rFonts w:hint="eastAsia" w:eastAsia="宋体"/>
          <w:sz w:val="24"/>
        </w:rPr>
        <w:t>&gt;0.05）。</w:t>
      </w:r>
    </w:p>
    <w:p w14:paraId="2E22A25B">
      <w:pPr>
        <w:spacing w:line="360" w:lineRule="auto"/>
        <w:ind w:firstLine="480" w:firstLineChars="200"/>
        <w:rPr>
          <w:rFonts w:hint="eastAsia" w:eastAsia="宋体"/>
          <w:sz w:val="24"/>
        </w:rPr>
      </w:pPr>
    </w:p>
    <w:p w14:paraId="32477CE5">
      <w:pPr>
        <w:spacing w:line="360" w:lineRule="auto"/>
        <w:ind w:firstLine="480" w:firstLineChars="200"/>
        <w:rPr>
          <w:rFonts w:hint="eastAsia" w:eastAsia="宋体"/>
          <w:sz w:val="24"/>
        </w:rPr>
      </w:pPr>
    </w:p>
    <w:p w14:paraId="6606E426">
      <w:pPr>
        <w:spacing w:line="360" w:lineRule="auto"/>
        <w:ind w:firstLine="480" w:firstLineChars="200"/>
        <w:rPr>
          <w:rFonts w:hint="eastAsia" w:eastAsia="宋体"/>
          <w:sz w:val="24"/>
        </w:rPr>
      </w:pPr>
    </w:p>
    <w:p w14:paraId="5AFB1083">
      <w:pPr>
        <w:spacing w:line="360" w:lineRule="auto"/>
        <w:ind w:firstLine="480" w:firstLineChars="200"/>
        <w:rPr>
          <w:rFonts w:hint="eastAsia" w:eastAsia="宋体"/>
          <w:sz w:val="24"/>
        </w:rPr>
      </w:pPr>
    </w:p>
    <w:p w14:paraId="10F50356">
      <w:pPr>
        <w:spacing w:line="360" w:lineRule="auto"/>
        <w:ind w:firstLine="420" w:firstLineChars="200"/>
        <w:rPr>
          <w:rFonts w:hint="eastAsia" w:eastAsia="宋体"/>
          <w:sz w:val="24"/>
        </w:rPr>
      </w:pPr>
      <w:r>
        <w:drawing>
          <wp:anchor distT="0" distB="0" distL="114300" distR="114300" simplePos="0" relativeHeight="251689984" behindDoc="0" locked="0" layoutInCell="1" allowOverlap="1">
            <wp:simplePos x="0" y="0"/>
            <wp:positionH relativeFrom="column">
              <wp:posOffset>266700</wp:posOffset>
            </wp:positionH>
            <wp:positionV relativeFrom="paragraph">
              <wp:posOffset>17145</wp:posOffset>
            </wp:positionV>
            <wp:extent cx="5143500" cy="5943600"/>
            <wp:effectExtent l="0" t="0" r="0" b="0"/>
            <wp:wrapTopAndBottom/>
            <wp:docPr id="4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6"/>
                    <pic:cNvPicPr>
                      <a:picLocks noChangeAspect="1"/>
                    </pic:cNvPicPr>
                  </pic:nvPicPr>
                  <pic:blipFill>
                    <a:blip r:embed="rId31"/>
                    <a:stretch>
                      <a:fillRect/>
                    </a:stretch>
                  </pic:blipFill>
                  <pic:spPr>
                    <a:xfrm>
                      <a:off x="0" y="0"/>
                      <a:ext cx="5143500" cy="5943600"/>
                    </a:xfrm>
                    <a:prstGeom prst="rect">
                      <a:avLst/>
                    </a:prstGeom>
                    <a:noFill/>
                    <a:ln>
                      <a:noFill/>
                    </a:ln>
                  </pic:spPr>
                </pic:pic>
              </a:graphicData>
            </a:graphic>
          </wp:anchor>
        </w:drawing>
      </w:r>
    </w:p>
    <w:p w14:paraId="303B5C7E">
      <w:pPr>
        <w:spacing w:line="360" w:lineRule="auto"/>
        <w:ind w:firstLine="480" w:firstLineChars="200"/>
        <w:rPr>
          <w:rFonts w:hint="eastAsia" w:eastAsia="宋体"/>
          <w:sz w:val="24"/>
        </w:rPr>
      </w:pPr>
    </w:p>
    <w:p w14:paraId="6BC4EDC1">
      <w:pPr>
        <w:spacing w:line="360" w:lineRule="auto"/>
        <w:ind w:firstLine="480" w:firstLineChars="200"/>
        <w:rPr>
          <w:rFonts w:hint="eastAsia" w:eastAsia="宋体"/>
          <w:sz w:val="24"/>
        </w:rPr>
      </w:pPr>
    </w:p>
    <w:p w14:paraId="51D3B1A9">
      <w:pPr>
        <w:spacing w:line="360" w:lineRule="auto"/>
        <w:ind w:firstLine="480" w:firstLineChars="200"/>
        <w:rPr>
          <w:rFonts w:hint="eastAsia" w:eastAsia="宋体"/>
          <w:sz w:val="24"/>
        </w:rPr>
      </w:pPr>
    </w:p>
    <w:p w14:paraId="11DAA19B">
      <w:pPr>
        <w:spacing w:line="360" w:lineRule="auto"/>
        <w:ind w:firstLine="480" w:firstLineChars="200"/>
        <w:rPr>
          <w:rFonts w:hint="eastAsia" w:eastAsia="宋体"/>
          <w:sz w:val="24"/>
        </w:rPr>
      </w:pPr>
    </w:p>
    <w:p w14:paraId="39697D22">
      <w:pPr>
        <w:spacing w:line="360" w:lineRule="auto"/>
        <w:ind w:firstLine="480" w:firstLineChars="200"/>
        <w:rPr>
          <w:rFonts w:hint="eastAsia" w:eastAsia="宋体"/>
          <w:sz w:val="24"/>
        </w:rPr>
      </w:pPr>
    </w:p>
    <w:p w14:paraId="1BA9AADE">
      <w:pPr>
        <w:spacing w:line="360" w:lineRule="auto"/>
        <w:ind w:firstLine="480" w:firstLineChars="200"/>
        <w:rPr>
          <w:rFonts w:hint="eastAsia" w:eastAsia="宋体"/>
          <w:sz w:val="24"/>
        </w:rPr>
      </w:pPr>
    </w:p>
    <w:p w14:paraId="09B7AF96">
      <w:pPr>
        <w:spacing w:line="360" w:lineRule="auto"/>
        <w:ind w:firstLine="480" w:firstLineChars="200"/>
        <w:rPr>
          <w:rFonts w:hint="eastAsia" w:eastAsia="宋体"/>
          <w:sz w:val="24"/>
        </w:rPr>
      </w:pPr>
    </w:p>
    <w:p w14:paraId="22CEA393">
      <w:pPr>
        <w:spacing w:line="360" w:lineRule="auto"/>
        <w:ind w:firstLine="480" w:firstLineChars="200"/>
        <w:rPr>
          <w:rFonts w:hint="eastAsia" w:eastAsia="宋体"/>
          <w:sz w:val="24"/>
        </w:rPr>
      </w:pPr>
      <w:r>
        <w:rPr>
          <w:rFonts w:hint="eastAsia" w:eastAsia="宋体"/>
          <w:sz w:val="24"/>
        </w:rPr>
        <w:t>2.5五倍子提取物对大口黑鲈肠道组织切片影响</w:t>
      </w:r>
    </w:p>
    <w:p w14:paraId="4C488703">
      <w:pPr>
        <w:spacing w:line="360" w:lineRule="auto"/>
        <w:ind w:firstLine="480" w:firstLineChars="200"/>
        <w:rPr>
          <w:rFonts w:hint="eastAsia" w:eastAsia="宋体"/>
          <w:sz w:val="24"/>
        </w:rPr>
      </w:pPr>
      <w:r>
        <w:rPr>
          <w:rFonts w:hint="eastAsia" w:eastAsia="宋体"/>
          <w:sz w:val="24"/>
        </w:rPr>
        <w:t>由图1可知，饲料中添加五倍子提取物可增加肠道绒毛宽度和数量。与A组相比，B3组前肠绒毛数量增多。</w:t>
      </w:r>
    </w:p>
    <w:p w14:paraId="17DD347D">
      <w:pPr>
        <w:spacing w:line="360" w:lineRule="auto"/>
        <w:ind w:firstLine="420" w:firstLineChars="200"/>
        <w:rPr>
          <w:rFonts w:hint="eastAsia" w:eastAsia="宋体"/>
          <w:sz w:val="24"/>
        </w:rPr>
      </w:pPr>
      <w:r>
        <w:drawing>
          <wp:anchor distT="0" distB="0" distL="114300" distR="114300" simplePos="0" relativeHeight="251691008" behindDoc="0" locked="0" layoutInCell="1" allowOverlap="1">
            <wp:simplePos x="0" y="0"/>
            <wp:positionH relativeFrom="column">
              <wp:posOffset>266700</wp:posOffset>
            </wp:positionH>
            <wp:positionV relativeFrom="paragraph">
              <wp:posOffset>20320</wp:posOffset>
            </wp:positionV>
            <wp:extent cx="5974715" cy="4294505"/>
            <wp:effectExtent l="0" t="0" r="6985" b="10795"/>
            <wp:wrapTopAndBottom/>
            <wp:docPr id="4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7"/>
                    <pic:cNvPicPr>
                      <a:picLocks noChangeAspect="1"/>
                    </pic:cNvPicPr>
                  </pic:nvPicPr>
                  <pic:blipFill>
                    <a:blip r:embed="rId32"/>
                    <a:stretch>
                      <a:fillRect/>
                    </a:stretch>
                  </pic:blipFill>
                  <pic:spPr>
                    <a:xfrm>
                      <a:off x="0" y="0"/>
                      <a:ext cx="5974715" cy="4294505"/>
                    </a:xfrm>
                    <a:prstGeom prst="rect">
                      <a:avLst/>
                    </a:prstGeom>
                    <a:noFill/>
                    <a:ln>
                      <a:noFill/>
                    </a:ln>
                  </pic:spPr>
                </pic:pic>
              </a:graphicData>
            </a:graphic>
          </wp:anchor>
        </w:drawing>
      </w:r>
    </w:p>
    <w:p w14:paraId="74361122">
      <w:pPr>
        <w:spacing w:line="360" w:lineRule="auto"/>
        <w:ind w:firstLine="480" w:firstLineChars="200"/>
        <w:rPr>
          <w:rFonts w:hint="eastAsia" w:eastAsia="宋体"/>
          <w:sz w:val="24"/>
        </w:rPr>
      </w:pPr>
      <w:r>
        <w:rPr>
          <w:rFonts w:hint="eastAsia" w:eastAsia="宋体"/>
          <w:sz w:val="24"/>
        </w:rPr>
        <w:t>3讨论</w:t>
      </w:r>
    </w:p>
    <w:p w14:paraId="70A5A35A">
      <w:pPr>
        <w:spacing w:line="360" w:lineRule="auto"/>
        <w:ind w:firstLine="480" w:firstLineChars="200"/>
        <w:rPr>
          <w:rFonts w:hint="eastAsia" w:eastAsia="宋体"/>
          <w:sz w:val="24"/>
        </w:rPr>
      </w:pPr>
      <w:r>
        <w:rPr>
          <w:rFonts w:hint="eastAsia" w:eastAsia="宋体"/>
          <w:sz w:val="24"/>
        </w:rPr>
        <w:t>3.1五倍子提取物对大口黑鲈生长性能和体成分的影响</w:t>
      </w:r>
    </w:p>
    <w:p w14:paraId="5B284C38">
      <w:pPr>
        <w:spacing w:line="360" w:lineRule="auto"/>
        <w:ind w:firstLine="480" w:firstLineChars="200"/>
        <w:rPr>
          <w:rFonts w:hint="eastAsia" w:eastAsia="宋体"/>
          <w:sz w:val="24"/>
        </w:rPr>
      </w:pPr>
      <w:r>
        <w:rPr>
          <w:rFonts w:hint="eastAsia" w:eastAsia="宋体"/>
          <w:sz w:val="24"/>
        </w:rPr>
        <w:t>研究发现，中草药有效成分具有提高动物的生长性能、改善肠道健康等作用</w:t>
      </w:r>
      <w:r>
        <w:rPr>
          <w:rFonts w:hint="eastAsia" w:eastAsia="宋体"/>
          <w:sz w:val="24"/>
          <w:vertAlign w:val="superscript"/>
        </w:rPr>
        <w:t>[11]</w:t>
      </w:r>
      <w:r>
        <w:rPr>
          <w:rFonts w:hint="eastAsia" w:eastAsia="宋体"/>
          <w:sz w:val="24"/>
        </w:rPr>
        <w:t>。五倍子在饲料中具有提高畜禽生长性能和改善肠道健康的作用</w:t>
      </w:r>
      <w:r>
        <w:rPr>
          <w:rFonts w:hint="eastAsia" w:eastAsia="宋体"/>
          <w:sz w:val="24"/>
          <w:vertAlign w:val="superscript"/>
        </w:rPr>
        <w:t>[8,12]</w:t>
      </w:r>
      <w:r>
        <w:rPr>
          <w:rFonts w:hint="eastAsia" w:eastAsia="宋体"/>
          <w:sz w:val="24"/>
        </w:rPr>
        <w:t>，在水产动物上也有类似的研究报道，其中五倍子已被证实在水产动物上可增强免疫、预防鱼病发生。添加发酵的五倍子对日本沼虾的生长有促进作用，其增重率和特定生长率有显著改变</w:t>
      </w:r>
      <w:r>
        <w:rPr>
          <w:rFonts w:hint="eastAsia" w:eastAsia="宋体"/>
          <w:sz w:val="24"/>
          <w:vertAlign w:val="superscript"/>
        </w:rPr>
        <w:t>[13]</w:t>
      </w:r>
      <w:r>
        <w:rPr>
          <w:rFonts w:hint="eastAsia" w:eastAsia="宋体"/>
          <w:sz w:val="24"/>
        </w:rPr>
        <w:t>；五倍子提取物提高了凡纳滨对虾的增重率</w:t>
      </w:r>
      <w:r>
        <w:rPr>
          <w:rFonts w:hint="eastAsia" w:eastAsia="宋体"/>
          <w:sz w:val="24"/>
          <w:vertAlign w:val="superscript"/>
        </w:rPr>
        <w:t>[14]</w:t>
      </w:r>
      <w:r>
        <w:rPr>
          <w:rFonts w:hint="eastAsia" w:eastAsia="宋体"/>
          <w:sz w:val="24"/>
        </w:rPr>
        <w:t>；在饲料中添加一定量五倍子在奥尼罗非鱼上也体现出能促进其生长性能</w:t>
      </w:r>
      <w:r>
        <w:rPr>
          <w:rFonts w:hint="eastAsia" w:eastAsia="宋体"/>
          <w:sz w:val="24"/>
          <w:vertAlign w:val="superscript"/>
        </w:rPr>
        <w:t>[15]</w:t>
      </w:r>
      <w:r>
        <w:rPr>
          <w:rFonts w:hint="eastAsia" w:eastAsia="宋体"/>
          <w:sz w:val="24"/>
        </w:rPr>
        <w:t>。在本试验中，五倍子提取物作为添加剂在大口黑鲈上的作用显著，其显著提高增重率的同时又降低饲料系数，对大口黑鲈摄食率和存活率无显著影响，可能是因为五倍子对动物肠道具有收敛作用，减缓食糜在肠道中的移动从而促进营养物质的吸收利用，进而改善动物生长性能</w:t>
      </w:r>
      <w:r>
        <w:rPr>
          <w:rFonts w:hint="default" w:eastAsia="宋体"/>
          <w:sz w:val="24"/>
          <w:vertAlign w:val="superscript"/>
          <w:lang w:val="en-US"/>
        </w:rPr>
        <w:t>[</w:t>
      </w:r>
      <w:r>
        <w:rPr>
          <w:rFonts w:hint="eastAsia" w:eastAsia="宋体"/>
          <w:sz w:val="24"/>
          <w:vertAlign w:val="superscript"/>
        </w:rPr>
        <w:t>16</w:t>
      </w:r>
      <w:r>
        <w:rPr>
          <w:rFonts w:hint="default" w:eastAsia="宋体"/>
          <w:sz w:val="24"/>
          <w:vertAlign w:val="superscript"/>
          <w:lang w:val="en-US"/>
        </w:rPr>
        <w:t>]</w:t>
      </w:r>
      <w:r>
        <w:rPr>
          <w:rFonts w:hint="eastAsia" w:eastAsia="宋体"/>
          <w:sz w:val="24"/>
        </w:rPr>
        <w:t>。</w:t>
      </w:r>
    </w:p>
    <w:p w14:paraId="00A76B48">
      <w:pPr>
        <w:spacing w:line="360" w:lineRule="auto"/>
        <w:ind w:firstLine="480" w:firstLineChars="200"/>
        <w:rPr>
          <w:rFonts w:hint="eastAsia" w:eastAsia="宋体"/>
          <w:sz w:val="24"/>
        </w:rPr>
      </w:pPr>
      <w:r>
        <w:rPr>
          <w:rFonts w:hint="eastAsia" w:eastAsia="宋体"/>
          <w:sz w:val="24"/>
        </w:rPr>
        <w:t>体成分组成是动物机体健康的重要指标之一</w:t>
      </w:r>
      <w:r>
        <w:rPr>
          <w:rFonts w:hint="eastAsia" w:eastAsia="宋体"/>
          <w:sz w:val="24"/>
          <w:vertAlign w:val="superscript"/>
        </w:rPr>
        <w:t>[17</w:t>
      </w:r>
      <w:r>
        <w:rPr>
          <w:rFonts w:hint="default" w:eastAsia="宋体"/>
          <w:sz w:val="24"/>
          <w:vertAlign w:val="superscript"/>
          <w:lang w:val="en-US"/>
        </w:rPr>
        <w:t>]</w:t>
      </w:r>
      <w:r>
        <w:rPr>
          <w:rFonts w:hint="eastAsia" w:eastAsia="宋体"/>
          <w:sz w:val="24"/>
        </w:rPr>
        <w:t>。有研究表明，在虹鳟饲料中，添加单宁提高了虹鳟粗蛋白含量，且降低了粗脂肪含量</w:t>
      </w:r>
      <w:r>
        <w:rPr>
          <w:rFonts w:hint="eastAsia" w:eastAsia="宋体"/>
          <w:sz w:val="24"/>
          <w:vertAlign w:val="superscript"/>
        </w:rPr>
        <w:t>[18</w:t>
      </w:r>
      <w:r>
        <w:rPr>
          <w:rFonts w:hint="default" w:eastAsia="宋体"/>
          <w:sz w:val="24"/>
          <w:vertAlign w:val="superscript"/>
          <w:lang w:val="en-US"/>
        </w:rPr>
        <w:t>]</w:t>
      </w:r>
      <w:r>
        <w:rPr>
          <w:rFonts w:hint="eastAsia" w:eastAsia="宋体"/>
          <w:sz w:val="24"/>
        </w:rPr>
        <w:t>;在凡纳滨对虾饲料中，添加五倍子提高了凡纳滨对虾粗蛋白含量</w:t>
      </w:r>
      <w:r>
        <w:rPr>
          <w:rFonts w:hint="eastAsia" w:eastAsia="宋体"/>
          <w:sz w:val="24"/>
          <w:vertAlign w:val="superscript"/>
        </w:rPr>
        <w:t>[14</w:t>
      </w:r>
      <w:r>
        <w:rPr>
          <w:rFonts w:hint="default" w:eastAsia="宋体"/>
          <w:sz w:val="24"/>
          <w:vertAlign w:val="superscript"/>
          <w:lang w:val="en-US"/>
        </w:rPr>
        <w:t>]</w:t>
      </w:r>
      <w:r>
        <w:rPr>
          <w:rFonts w:hint="eastAsia" w:eastAsia="宋体"/>
          <w:sz w:val="24"/>
        </w:rPr>
        <w:t>;而在大口黑鲈饲料中，添加五倍子单宁酸对大口黑鲈的体成分无显著影响</w:t>
      </w:r>
      <w:r>
        <w:rPr>
          <w:rFonts w:hint="eastAsia" w:eastAsia="宋体"/>
          <w:sz w:val="24"/>
          <w:vertAlign w:val="superscript"/>
        </w:rPr>
        <w:t>[19</w:t>
      </w:r>
      <w:r>
        <w:rPr>
          <w:rFonts w:hint="default" w:eastAsia="宋体"/>
          <w:sz w:val="24"/>
          <w:vertAlign w:val="superscript"/>
          <w:lang w:val="en-US"/>
        </w:rPr>
        <w:t>]</w:t>
      </w:r>
      <w:r>
        <w:rPr>
          <w:rFonts w:hint="eastAsia" w:eastAsia="宋体"/>
          <w:sz w:val="24"/>
        </w:rPr>
        <w:t>,这与本次试验结果一致。可能与试验对象和添加量不同所导致的。</w:t>
      </w:r>
    </w:p>
    <w:p w14:paraId="245112B1">
      <w:pPr>
        <w:spacing w:line="360" w:lineRule="auto"/>
        <w:ind w:firstLine="480" w:firstLineChars="200"/>
        <w:rPr>
          <w:rFonts w:hint="eastAsia" w:eastAsia="宋体"/>
          <w:sz w:val="24"/>
        </w:rPr>
      </w:pPr>
      <w:r>
        <w:rPr>
          <w:rFonts w:hint="eastAsia" w:eastAsia="宋体"/>
          <w:sz w:val="24"/>
        </w:rPr>
        <w:t>3.2五倍子提取物对大口黑鲈血清和肠道消化酶活性的影响</w:t>
      </w:r>
    </w:p>
    <w:p w14:paraId="60EA3844">
      <w:pPr>
        <w:spacing w:line="360" w:lineRule="auto"/>
        <w:ind w:firstLine="480" w:firstLineChars="200"/>
        <w:rPr>
          <w:rFonts w:hint="eastAsia" w:eastAsia="宋体"/>
          <w:sz w:val="24"/>
        </w:rPr>
      </w:pPr>
      <w:r>
        <w:rPr>
          <w:rFonts w:hint="eastAsia" w:eastAsia="宋体"/>
          <w:sz w:val="24"/>
        </w:rPr>
        <w:t>消化酶活性是评价动物消化能力的重要指标</w:t>
      </w:r>
      <w:r>
        <w:rPr>
          <w:rFonts w:hint="default" w:eastAsia="宋体"/>
          <w:sz w:val="24"/>
          <w:vertAlign w:val="superscript"/>
          <w:lang w:val="en-US"/>
        </w:rPr>
        <w:t>[</w:t>
      </w:r>
      <w:r>
        <w:rPr>
          <w:rFonts w:hint="eastAsia" w:eastAsia="宋体"/>
          <w:sz w:val="24"/>
          <w:vertAlign w:val="superscript"/>
        </w:rPr>
        <w:t>20</w:t>
      </w:r>
      <w:r>
        <w:rPr>
          <w:rFonts w:hint="default" w:eastAsia="宋体"/>
          <w:sz w:val="24"/>
          <w:vertAlign w:val="superscript"/>
          <w:lang w:val="en-US"/>
        </w:rPr>
        <w:t>]</w:t>
      </w:r>
      <w:r>
        <w:rPr>
          <w:rFonts w:hint="eastAsia" w:eastAsia="宋体"/>
          <w:sz w:val="24"/>
        </w:rPr>
        <w:t>。五倍子影响动物的主要有效成分是单宁，不同来源和工艺的单宁对不同研究对象的作用也不尽相同。饲料中添加单宁不影响断奶仔猪肠道中蛋白酶的活性但抑制脂肪酶的活性</w:t>
      </w:r>
      <w:r>
        <w:rPr>
          <w:rFonts w:hint="default" w:eastAsia="宋体"/>
          <w:sz w:val="24"/>
          <w:vertAlign w:val="superscript"/>
          <w:lang w:val="en-US"/>
        </w:rPr>
        <w:t>[</w:t>
      </w:r>
      <w:r>
        <w:rPr>
          <w:rFonts w:hint="eastAsia" w:eastAsia="宋体"/>
          <w:sz w:val="24"/>
          <w:vertAlign w:val="superscript"/>
        </w:rPr>
        <w:t>21</w:t>
      </w:r>
      <w:r>
        <w:rPr>
          <w:rFonts w:hint="default" w:eastAsia="宋体"/>
          <w:sz w:val="24"/>
          <w:vertAlign w:val="superscript"/>
          <w:lang w:val="en-US"/>
        </w:rPr>
        <w:t>]</w:t>
      </w:r>
      <w:r>
        <w:rPr>
          <w:rFonts w:hint="eastAsia" w:eastAsia="宋体"/>
          <w:sz w:val="24"/>
        </w:rPr>
        <w:t>;在饲料中添加五倍子单宁酸对大口黑鲈消化酶活性无显著影响</w:t>
      </w:r>
      <w:r>
        <w:rPr>
          <w:rFonts w:hint="default" w:eastAsia="宋体"/>
          <w:sz w:val="24"/>
          <w:vertAlign w:val="superscript"/>
          <w:lang w:val="en-US"/>
        </w:rPr>
        <w:t>[</w:t>
      </w:r>
      <w:r>
        <w:rPr>
          <w:rFonts w:hint="eastAsia" w:eastAsia="宋体"/>
          <w:sz w:val="24"/>
          <w:vertAlign w:val="superscript"/>
        </w:rPr>
        <w:t>19</w:t>
      </w:r>
      <w:r>
        <w:rPr>
          <w:rFonts w:hint="default" w:eastAsia="宋体"/>
          <w:sz w:val="24"/>
          <w:vertAlign w:val="superscript"/>
          <w:lang w:val="en-US"/>
        </w:rPr>
        <w:t>]</w:t>
      </w:r>
      <w:r>
        <w:rPr>
          <w:rFonts w:hint="eastAsia" w:eastAsia="宋体"/>
          <w:sz w:val="24"/>
        </w:rPr>
        <w:t>;而在饲料中添加五倍子提高了鳙鱼消化酶活性，但差异不显著</w:t>
      </w:r>
      <w:r>
        <w:rPr>
          <w:rFonts w:hint="default" w:eastAsia="宋体"/>
          <w:sz w:val="24"/>
          <w:vertAlign w:val="superscript"/>
          <w:lang w:val="en-US"/>
        </w:rPr>
        <w:t>[</w:t>
      </w:r>
      <w:r>
        <w:rPr>
          <w:rFonts w:hint="eastAsia" w:eastAsia="宋体"/>
          <w:sz w:val="24"/>
          <w:vertAlign w:val="superscript"/>
        </w:rPr>
        <w:t>22</w:t>
      </w:r>
      <w:r>
        <w:rPr>
          <w:rFonts w:hint="default" w:eastAsia="宋体"/>
          <w:sz w:val="24"/>
          <w:vertAlign w:val="superscript"/>
          <w:lang w:val="en-US"/>
        </w:rPr>
        <w:t>]</w:t>
      </w:r>
      <w:r>
        <w:rPr>
          <w:rFonts w:hint="eastAsia" w:eastAsia="宋体"/>
          <w:sz w:val="24"/>
        </w:rPr>
        <w:t>。本试验结果显示，在饲料中添加0.375%五倍子提取物可显著提高大口黑鲈脂肪酶活性。</w:t>
      </w:r>
    </w:p>
    <w:p w14:paraId="5E25C9E9">
      <w:pPr>
        <w:spacing w:line="360" w:lineRule="auto"/>
        <w:ind w:firstLine="480" w:firstLineChars="200"/>
        <w:rPr>
          <w:rFonts w:hint="eastAsia" w:eastAsia="宋体"/>
          <w:sz w:val="24"/>
        </w:rPr>
      </w:pPr>
      <w:r>
        <w:rPr>
          <w:rFonts w:hint="eastAsia" w:eastAsia="宋体"/>
          <w:sz w:val="24"/>
        </w:rPr>
        <w:t>鱼类的特异性免疫功能不显著,主要是由非特异性免疫来抵挡病害，血清中超氧化物歧化酶、碱性磷酸酶和酸性磷酸酶是反映机体非特异性免疫的重要指标</w:t>
      </w:r>
      <w:r>
        <w:rPr>
          <w:rFonts w:hint="eastAsia" w:eastAsia="宋体"/>
          <w:sz w:val="24"/>
          <w:vertAlign w:val="superscript"/>
        </w:rPr>
        <w:t>[23</w:t>
      </w:r>
      <w:r>
        <w:rPr>
          <w:rFonts w:hint="default" w:eastAsia="宋体"/>
          <w:sz w:val="24"/>
          <w:vertAlign w:val="superscript"/>
          <w:lang w:val="en-US"/>
        </w:rPr>
        <w:t>]</w:t>
      </w:r>
      <w:r>
        <w:rPr>
          <w:rFonts w:hint="eastAsia" w:eastAsia="宋体"/>
          <w:sz w:val="24"/>
        </w:rPr>
        <w:t>,血清生化指标能有效反映动物健康状况</w:t>
      </w:r>
      <w:r>
        <w:rPr>
          <w:rFonts w:hint="default" w:eastAsia="宋体"/>
          <w:sz w:val="24"/>
          <w:vertAlign w:val="superscript"/>
          <w:lang w:val="en-US"/>
        </w:rPr>
        <w:t>[</w:t>
      </w:r>
      <w:r>
        <w:rPr>
          <w:rFonts w:hint="eastAsia" w:eastAsia="宋体"/>
          <w:sz w:val="24"/>
          <w:vertAlign w:val="superscript"/>
        </w:rPr>
        <w:t>24</w:t>
      </w:r>
      <w:r>
        <w:rPr>
          <w:rFonts w:hint="default" w:eastAsia="宋体"/>
          <w:sz w:val="24"/>
          <w:vertAlign w:val="superscript"/>
          <w:lang w:val="en-US"/>
        </w:rPr>
        <w:t>]</w:t>
      </w:r>
      <w:r>
        <w:rPr>
          <w:rFonts w:hint="eastAsia" w:eastAsia="宋体"/>
          <w:sz w:val="24"/>
        </w:rPr>
        <w:t>。饲料中添加五倍子可显著提高凡纳滨对虾碱性磷酸酶、酸性磷酸酶和超氧化物歧化酶活性</w:t>
      </w:r>
      <w:r>
        <w:rPr>
          <w:rFonts w:hint="eastAsia" w:eastAsia="宋体"/>
          <w:sz w:val="24"/>
          <w:vertAlign w:val="superscript"/>
        </w:rPr>
        <w:t>[13</w:t>
      </w:r>
      <w:r>
        <w:rPr>
          <w:rFonts w:hint="default" w:eastAsia="宋体"/>
          <w:sz w:val="24"/>
          <w:vertAlign w:val="superscript"/>
          <w:lang w:val="en-US"/>
        </w:rPr>
        <w:t>]</w:t>
      </w:r>
      <w:r>
        <w:rPr>
          <w:rFonts w:hint="eastAsia" w:eastAsia="宋体"/>
          <w:sz w:val="24"/>
        </w:rPr>
        <w:t>,在饲料中添加五倍子可提高鳙鱼</w:t>
      </w:r>
      <w:r>
        <w:rPr>
          <w:rFonts w:hint="default" w:eastAsia="宋体"/>
          <w:sz w:val="24"/>
          <w:vertAlign w:val="superscript"/>
          <w:lang w:val="en-US"/>
        </w:rPr>
        <w:t>[</w:t>
      </w:r>
      <w:r>
        <w:rPr>
          <w:rFonts w:hint="eastAsia" w:eastAsia="宋体"/>
          <w:sz w:val="24"/>
          <w:vertAlign w:val="superscript"/>
        </w:rPr>
        <w:t>22</w:t>
      </w:r>
      <w:r>
        <w:rPr>
          <w:rFonts w:hint="default" w:eastAsia="宋体"/>
          <w:sz w:val="24"/>
          <w:vertAlign w:val="superscript"/>
          <w:lang w:val="en-US"/>
        </w:rPr>
        <w:t>]</w:t>
      </w:r>
      <w:r>
        <w:rPr>
          <w:rFonts w:hint="eastAsia" w:eastAsia="宋体"/>
          <w:sz w:val="24"/>
        </w:rPr>
        <w:t>血清中碱性磷酸酶和超氧化物歧化酶活性，而在罗非鱼饲料中则显著降低其碱性磷酸酶酶活性。在本试验中，五倍子提取物对大口黑鲈血清生化指标无显著影响。与上述研究结果不同，可能与试验对象和添加量不同有关。</w:t>
      </w:r>
    </w:p>
    <w:p w14:paraId="73C7025D">
      <w:pPr>
        <w:spacing w:line="360" w:lineRule="auto"/>
        <w:ind w:firstLine="480" w:firstLineChars="200"/>
        <w:rPr>
          <w:rFonts w:hint="eastAsia" w:eastAsia="宋体"/>
          <w:sz w:val="24"/>
        </w:rPr>
      </w:pPr>
      <w:r>
        <w:rPr>
          <w:rFonts w:hint="eastAsia" w:eastAsia="宋体"/>
          <w:sz w:val="24"/>
        </w:rPr>
        <w:t>3.3五倍子提取物对大口黑鲈肠道组织的影响</w:t>
      </w:r>
    </w:p>
    <w:p w14:paraId="06F29491">
      <w:pPr>
        <w:spacing w:line="360" w:lineRule="auto"/>
        <w:ind w:firstLine="480" w:firstLineChars="200"/>
        <w:rPr>
          <w:rFonts w:hint="eastAsia" w:eastAsia="宋体"/>
          <w:sz w:val="24"/>
        </w:rPr>
      </w:pPr>
      <w:r>
        <w:rPr>
          <w:rFonts w:hint="eastAsia" w:eastAsia="宋体"/>
          <w:sz w:val="24"/>
        </w:rPr>
        <w:t>动物消化吸收主要在肠道，肠道消化吸收营养物质的能力主要取决于肠道绒毛数量、长度、宽度和隐窝深度等。据报道，在饲料中添加单宁对草鱼的肠道组织产生负面影响</w:t>
      </w:r>
      <w:r>
        <w:rPr>
          <w:rFonts w:hint="eastAsia" w:eastAsia="宋体"/>
          <w:sz w:val="24"/>
          <w:vertAlign w:val="superscript"/>
        </w:rPr>
        <w:t>[25]</w:t>
      </w:r>
      <w:r>
        <w:rPr>
          <w:rFonts w:hint="eastAsia" w:eastAsia="宋体"/>
          <w:sz w:val="24"/>
        </w:rPr>
        <w:t>，而在饲料中添加水解单宁对珍珠龙胆石斑鱼具有提高肠道绒毛长度，改善肠道形态等作用</w:t>
      </w:r>
      <w:r>
        <w:rPr>
          <w:rFonts w:hint="eastAsia" w:eastAsia="宋体"/>
          <w:sz w:val="24"/>
          <w:vertAlign w:val="superscript"/>
        </w:rPr>
        <w:t>[26]</w:t>
      </w:r>
      <w:r>
        <w:rPr>
          <w:rFonts w:hint="eastAsia" w:eastAsia="宋体"/>
          <w:sz w:val="24"/>
        </w:rPr>
        <w:t>。在本试验中，五倍子提取物可增加绒毛宽度和数量，并降低隐窝深度。结合其他报道中五倍子对动物肠道具有收敛性的作用，推测五倍子提取物在增加肠道消化吸收营养物质的面积的同时，降低食糜移动速度，促进营养物质消化吸收，进而改善生长性能。</w:t>
      </w:r>
    </w:p>
    <w:p w14:paraId="0A6C4096">
      <w:pPr>
        <w:spacing w:line="360" w:lineRule="auto"/>
        <w:ind w:firstLine="480" w:firstLineChars="200"/>
        <w:rPr>
          <w:rFonts w:hint="eastAsia" w:eastAsia="宋体"/>
          <w:sz w:val="24"/>
        </w:rPr>
      </w:pPr>
      <w:r>
        <w:rPr>
          <w:rFonts w:hint="eastAsia" w:eastAsia="宋体"/>
          <w:sz w:val="24"/>
        </w:rPr>
        <w:t>4结论</w:t>
      </w:r>
    </w:p>
    <w:p w14:paraId="2357B97E">
      <w:pPr>
        <w:spacing w:line="360" w:lineRule="auto"/>
        <w:ind w:firstLine="480" w:firstLineChars="200"/>
        <w:rPr>
          <w:rFonts w:hint="eastAsia" w:ascii="宋体" w:hAnsi="宋体" w:cs="宋体"/>
          <w:sz w:val="24"/>
        </w:rPr>
      </w:pPr>
      <w:r>
        <w:rPr>
          <w:rFonts w:hint="eastAsia" w:eastAsia="宋体"/>
          <w:sz w:val="24"/>
        </w:rPr>
        <w:t>在本研究中，五倍子提取物作为添加剂可有效提高生长性能。以增重率为评价指标，五倍子提取物的最适添加水平为0.375%。</w:t>
      </w:r>
    </w:p>
    <w:p w14:paraId="1E22BE73">
      <w:pPr>
        <w:rPr>
          <w:rFonts w:hint="eastAsia" w:ascii="宋体" w:hAnsi="宋体" w:cs="宋体"/>
          <w:sz w:val="24"/>
        </w:rPr>
      </w:pPr>
      <w:r>
        <w:rPr>
          <w:rFonts w:hint="eastAsia" w:ascii="宋体" w:hAnsi="宋体" w:cs="宋体"/>
          <w:sz w:val="24"/>
        </w:rPr>
        <w:t>参考文献：略</w:t>
      </w:r>
    </w:p>
    <w:p w14:paraId="28E6A1CC">
      <w:pPr>
        <w:spacing w:line="360" w:lineRule="auto"/>
        <w:ind w:firstLine="420" w:firstLineChars="200"/>
        <w:jc w:val="right"/>
        <w:rPr>
          <w:szCs w:val="21"/>
        </w:rPr>
      </w:pPr>
      <w:r>
        <w:rPr>
          <w:rFonts w:ascii="宋体" w:hAnsi="宋体" w:cs="宋体"/>
          <w:szCs w:val="21"/>
        </w:rPr>
        <w:t>原文刊登在《</w:t>
      </w:r>
      <w:r>
        <w:rPr>
          <w:rFonts w:hint="eastAsia" w:ascii="宋体" w:hAnsi="宋体" w:cs="宋体"/>
          <w:szCs w:val="21"/>
          <w:lang w:val="en-US" w:eastAsia="zh-CN"/>
        </w:rPr>
        <w:t>饲料工业</w:t>
      </w:r>
      <w:r>
        <w:rPr>
          <w:rFonts w:ascii="宋体" w:hAnsi="宋体" w:cs="宋体"/>
          <w:szCs w:val="21"/>
        </w:rPr>
        <w:t>》</w:t>
      </w:r>
      <w:r>
        <w:rPr>
          <w:rFonts w:hint="eastAsia" w:ascii="宋体" w:hAnsi="宋体" w:cs="宋体"/>
          <w:szCs w:val="21"/>
        </w:rPr>
        <w:t>，</w:t>
      </w:r>
      <w:r>
        <w:rPr>
          <w:szCs w:val="21"/>
        </w:rPr>
        <w:t>202</w:t>
      </w:r>
      <w:r>
        <w:rPr>
          <w:rFonts w:hint="eastAsia"/>
          <w:szCs w:val="21"/>
        </w:rPr>
        <w:t>6</w:t>
      </w:r>
      <w:r>
        <w:rPr>
          <w:szCs w:val="21"/>
        </w:rPr>
        <w:t>年第</w:t>
      </w:r>
      <w:r>
        <w:rPr>
          <w:rFonts w:hint="eastAsia"/>
          <w:szCs w:val="21"/>
          <w:lang w:val="en-US" w:eastAsia="zh-CN"/>
        </w:rPr>
        <w:t>10</w:t>
      </w:r>
      <w:r>
        <w:rPr>
          <w:szCs w:val="21"/>
        </w:rPr>
        <w:t>期</w:t>
      </w:r>
    </w:p>
    <w:p w14:paraId="1905E2B1">
      <w:pPr>
        <w:spacing w:line="360" w:lineRule="auto"/>
        <w:jc w:val="right"/>
        <w:rPr>
          <w:szCs w:val="21"/>
        </w:rPr>
      </w:pPr>
    </w:p>
    <w:p w14:paraId="3C285827">
      <w:pPr>
        <w:jc w:val="center"/>
        <w:outlineLvl w:val="1"/>
        <w:rPr>
          <w:rFonts w:hint="eastAsia" w:ascii="黑体" w:hAnsi="黑体" w:eastAsia="黑体" w:cs="黑体"/>
          <w:b/>
          <w:bCs/>
          <w:sz w:val="32"/>
          <w:szCs w:val="32"/>
        </w:rPr>
      </w:pPr>
      <w:r>
        <w:rPr>
          <w:rFonts w:hint="eastAsia" w:ascii="黑体" w:hAnsi="黑体" w:eastAsia="黑体" w:cs="黑体"/>
          <w:b/>
          <w:bCs/>
          <w:sz w:val="32"/>
          <w:szCs w:val="32"/>
        </w:rPr>
        <w:t>约氏乳杆菌对黄鳝生长性能和脂质代谢的影响</w:t>
      </w:r>
    </w:p>
    <w:p w14:paraId="497E9E9B">
      <w:pPr>
        <w:jc w:val="center"/>
        <w:rPr>
          <w:rFonts w:hint="eastAsia"/>
          <w:szCs w:val="21"/>
          <w:vertAlign w:val="superscript"/>
        </w:rPr>
      </w:pPr>
      <w:r>
        <w:rPr>
          <w:rFonts w:hint="eastAsia"/>
          <w:szCs w:val="21"/>
        </w:rPr>
        <w:t>陈潇</w:t>
      </w:r>
      <w:r>
        <w:rPr>
          <w:rFonts w:hint="eastAsia"/>
          <w:szCs w:val="21"/>
          <w:vertAlign w:val="superscript"/>
        </w:rPr>
        <w:t>1</w:t>
      </w:r>
      <w:r>
        <w:rPr>
          <w:rFonts w:hint="eastAsia"/>
          <w:szCs w:val="21"/>
        </w:rPr>
        <w:t>景瑞雪</w:t>
      </w:r>
      <w:r>
        <w:rPr>
          <w:rFonts w:hint="eastAsia"/>
          <w:szCs w:val="21"/>
          <w:vertAlign w:val="superscript"/>
        </w:rPr>
        <w:t>1</w:t>
      </w:r>
      <w:r>
        <w:rPr>
          <w:rFonts w:hint="eastAsia"/>
          <w:szCs w:val="21"/>
        </w:rPr>
        <w:t>肖伟</w:t>
      </w:r>
      <w:r>
        <w:rPr>
          <w:rFonts w:hint="eastAsia"/>
          <w:szCs w:val="21"/>
          <w:vertAlign w:val="superscript"/>
        </w:rPr>
        <w:t>2</w:t>
      </w:r>
      <w:r>
        <w:rPr>
          <w:rFonts w:hint="eastAsia"/>
          <w:szCs w:val="21"/>
        </w:rPr>
        <w:t>陈蓉蓉</w:t>
      </w:r>
      <w:r>
        <w:rPr>
          <w:rFonts w:hint="eastAsia"/>
          <w:szCs w:val="21"/>
          <w:vertAlign w:val="superscript"/>
        </w:rPr>
        <w:t>3</w:t>
      </w:r>
      <w:r>
        <w:rPr>
          <w:rFonts w:hint="eastAsia"/>
          <w:szCs w:val="21"/>
        </w:rPr>
        <w:t>余明进</w:t>
      </w:r>
      <w:r>
        <w:rPr>
          <w:rFonts w:hint="eastAsia"/>
          <w:szCs w:val="21"/>
          <w:vertAlign w:val="superscript"/>
        </w:rPr>
        <w:t>1</w:t>
      </w:r>
      <w:r>
        <w:rPr>
          <w:rFonts w:hint="eastAsia"/>
          <w:szCs w:val="21"/>
        </w:rPr>
        <w:t>潘杰</w:t>
      </w:r>
      <w:r>
        <w:rPr>
          <w:rFonts w:hint="eastAsia"/>
          <w:szCs w:val="21"/>
          <w:vertAlign w:val="superscript"/>
        </w:rPr>
        <w:t>1</w:t>
      </w:r>
      <w:r>
        <w:rPr>
          <w:rFonts w:hint="eastAsia"/>
          <w:szCs w:val="21"/>
        </w:rPr>
        <w:t>王自蕊</w:t>
      </w:r>
      <w:r>
        <w:rPr>
          <w:rFonts w:hint="eastAsia"/>
          <w:szCs w:val="21"/>
          <w:vertAlign w:val="superscript"/>
        </w:rPr>
        <w:t>1</w:t>
      </w:r>
      <w:r>
        <w:rPr>
          <w:rFonts w:hint="eastAsia"/>
          <w:szCs w:val="21"/>
        </w:rPr>
        <w:t>晁碧辉</w:t>
      </w:r>
      <w:r>
        <w:rPr>
          <w:rFonts w:hint="eastAsia"/>
          <w:szCs w:val="21"/>
          <w:vertAlign w:val="superscript"/>
        </w:rPr>
        <w:t>1</w:t>
      </w:r>
      <w:r>
        <w:rPr>
          <w:rFonts w:hint="eastAsia"/>
          <w:szCs w:val="21"/>
        </w:rPr>
        <w:t>王文敏</w:t>
      </w:r>
      <w:r>
        <w:rPr>
          <w:rFonts w:hint="eastAsia"/>
          <w:szCs w:val="21"/>
          <w:vertAlign w:val="superscript"/>
        </w:rPr>
        <w:t>2</w:t>
      </w:r>
      <w:r>
        <w:rPr>
          <w:rFonts w:hint="eastAsia"/>
          <w:szCs w:val="21"/>
        </w:rPr>
        <w:t>肖婧</w:t>
      </w:r>
      <w:r>
        <w:rPr>
          <w:rFonts w:hint="eastAsia"/>
          <w:szCs w:val="21"/>
          <w:vertAlign w:val="superscript"/>
        </w:rPr>
        <w:t>2</w:t>
      </w:r>
      <w:r>
        <w:rPr>
          <w:rFonts w:hint="eastAsia"/>
          <w:szCs w:val="21"/>
        </w:rPr>
        <w:t>杨竹青</w:t>
      </w:r>
      <w:r>
        <w:rPr>
          <w:rFonts w:hint="eastAsia"/>
          <w:szCs w:val="21"/>
          <w:vertAlign w:val="superscript"/>
        </w:rPr>
        <w:t>1,2</w:t>
      </w:r>
    </w:p>
    <w:p w14:paraId="57F3C890">
      <w:pPr>
        <w:jc w:val="center"/>
        <w:rPr>
          <w:rFonts w:hint="eastAsia"/>
          <w:szCs w:val="21"/>
          <w:vertAlign w:val="superscript"/>
        </w:rPr>
      </w:pPr>
    </w:p>
    <w:p w14:paraId="63D0CDF2">
      <w:pPr>
        <w:jc w:val="center"/>
        <w:rPr>
          <w:szCs w:val="21"/>
        </w:rPr>
      </w:pPr>
      <w:r>
        <w:rPr>
          <w:szCs w:val="21"/>
        </w:rPr>
        <w:t>(</w:t>
      </w:r>
      <w:r>
        <w:rPr>
          <w:rFonts w:hint="eastAsia"/>
          <w:szCs w:val="21"/>
        </w:rPr>
        <w:t>1. 南昌市特色水生生物营养生理与健康养殖重点实验室, 南昌 330045; 2. 江西农业大学公共基础实验教学中心,南昌 330045; 3. 江西农业大学生物科学与工程学院, 南昌 330045</w:t>
      </w:r>
      <w:r>
        <w:rPr>
          <w:szCs w:val="21"/>
        </w:rPr>
        <w:t>)</w:t>
      </w:r>
    </w:p>
    <w:p w14:paraId="0D71136E">
      <w:pPr>
        <w:rPr>
          <w:szCs w:val="21"/>
        </w:rPr>
      </w:pPr>
      <w:r>
        <w:rPr>
          <w:rFonts w:hint="eastAsia"/>
          <w:b/>
          <w:bCs/>
          <w:szCs w:val="21"/>
        </w:rPr>
        <w:t>摘要：</w:t>
      </w:r>
      <w:r>
        <w:rPr>
          <w:rFonts w:hint="eastAsia"/>
          <w:szCs w:val="21"/>
        </w:rPr>
        <w:t>为了探究约氏乳杆菌CIP103620对黄鳝(</w:t>
      </w:r>
      <w:r>
        <w:rPr>
          <w:rFonts w:hint="default" w:ascii="Times New Roman Italic" w:hAnsi="Times New Roman Italic" w:cs="Times New Roman Italic"/>
          <w:i/>
          <w:iCs/>
          <w:szCs w:val="21"/>
        </w:rPr>
        <w:t>Monopterus albus</w:t>
      </w:r>
      <w:r>
        <w:rPr>
          <w:rFonts w:hint="eastAsia"/>
          <w:szCs w:val="21"/>
        </w:rPr>
        <w:t>)生长性能与脂质代谢的影响,将180尾黄鳝随机分为对照组(CL,基础饲料)、发酵组(JF,1×107 CFU/g约氏乳杆菌发酵饲料)和喷洒组(JS,表面喷洒等量活菌饲料),正式试验8周。结果表明,与对照组相比,JF组和JS组均显著提高了黄鳝的末重、增重率和特定生长率(</w:t>
      </w:r>
      <w:r>
        <w:rPr>
          <w:rFonts w:hint="default" w:ascii="Times New Roman Italic" w:hAnsi="Times New Roman Italic" w:cs="Times New Roman Italic"/>
          <w:i/>
          <w:iCs/>
          <w:szCs w:val="21"/>
        </w:rPr>
        <w:t>P</w:t>
      </w:r>
      <w:r>
        <w:rPr>
          <w:rFonts w:hint="eastAsia"/>
          <w:szCs w:val="21"/>
        </w:rPr>
        <w:t>&lt;0.05),且JS组效果更优。两组均显著提高了全鱼和肌肉的粗脂肪含量(</w:t>
      </w:r>
      <w:r>
        <w:rPr>
          <w:rFonts w:hint="default" w:ascii="Times New Roman Italic" w:hAnsi="Times New Roman Italic" w:cs="Times New Roman Italic"/>
          <w:i/>
          <w:iCs/>
          <w:szCs w:val="21"/>
        </w:rPr>
        <w:t>P</w:t>
      </w:r>
      <w:r>
        <w:rPr>
          <w:rFonts w:hint="eastAsia"/>
          <w:szCs w:val="21"/>
        </w:rPr>
        <w:t>&lt;0.05),同时降低了肝脏脂质沉积(</w:t>
      </w:r>
      <w:r>
        <w:rPr>
          <w:rFonts w:hint="default" w:ascii="Times New Roman Italic" w:hAnsi="Times New Roman Italic" w:cs="Times New Roman Italic"/>
          <w:i/>
          <w:iCs/>
          <w:szCs w:val="21"/>
        </w:rPr>
        <w:t>P</w:t>
      </w:r>
      <w:r>
        <w:rPr>
          <w:rFonts w:hint="eastAsia"/>
          <w:szCs w:val="21"/>
        </w:rPr>
        <w:t>&lt;0.05)。此外,两组处理均显著降低了血清甘油三酯、总胆固醇、低密度脂蛋白胆固醇和非酯化游离脂肪酸水平(</w:t>
      </w:r>
      <w:r>
        <w:rPr>
          <w:rFonts w:hint="default" w:ascii="Times New Roman Italic" w:hAnsi="Times New Roman Italic" w:cs="Times New Roman Italic"/>
          <w:i/>
          <w:iCs/>
          <w:szCs w:val="21"/>
        </w:rPr>
        <w:t>P</w:t>
      </w:r>
      <w:r>
        <w:rPr>
          <w:rFonts w:hint="eastAsia"/>
          <w:szCs w:val="21"/>
        </w:rPr>
        <w:t>&lt;0.05),提高了肝脏肝脂酶、脂蛋白脂酶和总脂酶活性(</w:t>
      </w:r>
      <w:r>
        <w:rPr>
          <w:rFonts w:hint="default" w:ascii="Times New Roman Italic" w:hAnsi="Times New Roman Italic" w:cs="Times New Roman Italic"/>
          <w:i/>
          <w:iCs/>
          <w:szCs w:val="21"/>
        </w:rPr>
        <w:t>P</w:t>
      </w:r>
      <w:r>
        <w:rPr>
          <w:rFonts w:hint="eastAsia"/>
          <w:szCs w:val="21"/>
        </w:rPr>
        <w:t>&lt;0.05)。基因表达分析表明JS组显著上调了脂肪分解相关基因(cpt1、lpl、hsl、atgls)及部分合成基因(acc 1、fas)表达,同时下调acc2(</w:t>
      </w:r>
      <w:r>
        <w:rPr>
          <w:rFonts w:hint="default" w:ascii="Times New Roman Italic" w:hAnsi="Times New Roman Italic" w:cs="Times New Roman Italic"/>
          <w:i/>
          <w:iCs/>
          <w:szCs w:val="21"/>
        </w:rPr>
        <w:t>P</w:t>
      </w:r>
      <w:r>
        <w:rPr>
          <w:rFonts w:hint="eastAsia"/>
          <w:szCs w:val="21"/>
        </w:rPr>
        <w:t>&lt;0.05)基因表达;JF组对脂肪分解相关基因表达的上调幅度较弱。因此,约氏乳杆菌可能通过增强肝脏脂质分解代谢、调控相关基因表达,来有效促进黄鳝生长和改善脂质代谢稳态;综合分析表明活菌喷洒处理在促进生长和调控脂质代谢方面效果更显著,是更为适宜的益生菌应用方式。</w:t>
      </w:r>
    </w:p>
    <w:p w14:paraId="33E2918D">
      <w:pPr>
        <w:rPr>
          <w:szCs w:val="21"/>
        </w:rPr>
      </w:pPr>
      <w:r>
        <w:rPr>
          <w:rFonts w:hint="eastAsia"/>
          <w:b/>
          <w:bCs/>
          <w:szCs w:val="21"/>
        </w:rPr>
        <w:t>关键词：</w:t>
      </w:r>
      <w:r>
        <w:rPr>
          <w:rFonts w:hint="eastAsia"/>
          <w:b w:val="0"/>
          <w:bCs w:val="0"/>
          <w:szCs w:val="21"/>
        </w:rPr>
        <w:t>生长性能;   脂质代谢;   约氏乳杆菌;   黄鳝</w:t>
      </w:r>
    </w:p>
    <w:p w14:paraId="428B4A9E">
      <w:pPr>
        <w:jc w:val="center"/>
        <w:rPr>
          <w:rFonts w:hint="eastAsia"/>
          <w:b/>
          <w:bCs/>
          <w:sz w:val="24"/>
        </w:rPr>
      </w:pPr>
      <w:r>
        <w:rPr>
          <w:rFonts w:hint="default" w:ascii="Times New Roman Bold Italic" w:hAnsi="Times New Roman Bold Italic" w:cs="Times New Roman Bold Italic"/>
          <w:b/>
          <w:bCs/>
          <w:i/>
          <w:iCs/>
          <w:sz w:val="24"/>
        </w:rPr>
        <w:t>LACTOBACILLUS JOHNSONII</w:t>
      </w:r>
      <w:r>
        <w:rPr>
          <w:rFonts w:hint="eastAsia"/>
          <w:b/>
          <w:bCs/>
          <w:sz w:val="24"/>
        </w:rPr>
        <w:t xml:space="preserve"> ON GROWTH PERFORMANCE AND LIPID METABOLISM IN MONOPTERUS ALBUS</w:t>
      </w:r>
    </w:p>
    <w:p w14:paraId="42A4200D">
      <w:pPr>
        <w:jc w:val="center"/>
        <w:rPr>
          <w:rFonts w:hint="eastAsia"/>
          <w:szCs w:val="21"/>
        </w:rPr>
      </w:pPr>
      <w:r>
        <w:rPr>
          <w:rFonts w:hint="eastAsia"/>
          <w:szCs w:val="21"/>
        </w:rPr>
        <w:t>CHEN Xiao</w:t>
      </w:r>
      <w:r>
        <w:rPr>
          <w:rFonts w:hint="eastAsia"/>
          <w:szCs w:val="21"/>
          <w:vertAlign w:val="superscript"/>
        </w:rPr>
        <w:t>1</w:t>
      </w:r>
      <w:r>
        <w:rPr>
          <w:rFonts w:hint="eastAsia"/>
          <w:szCs w:val="21"/>
        </w:rPr>
        <w:t>, JING Rui-Xue</w:t>
      </w:r>
      <w:r>
        <w:rPr>
          <w:rFonts w:hint="eastAsia"/>
          <w:szCs w:val="21"/>
          <w:vertAlign w:val="superscript"/>
        </w:rPr>
        <w:t>1</w:t>
      </w:r>
      <w:r>
        <w:rPr>
          <w:rFonts w:hint="eastAsia"/>
          <w:szCs w:val="21"/>
        </w:rPr>
        <w:t>, XIAO Wei</w:t>
      </w:r>
      <w:r>
        <w:rPr>
          <w:rFonts w:hint="eastAsia"/>
          <w:szCs w:val="21"/>
          <w:vertAlign w:val="superscript"/>
        </w:rPr>
        <w:t>2</w:t>
      </w:r>
      <w:r>
        <w:rPr>
          <w:rFonts w:hint="eastAsia"/>
          <w:szCs w:val="21"/>
        </w:rPr>
        <w:t>, CHEN Rong-Rong</w:t>
      </w:r>
      <w:r>
        <w:rPr>
          <w:rFonts w:hint="eastAsia"/>
          <w:szCs w:val="21"/>
          <w:vertAlign w:val="superscript"/>
        </w:rPr>
        <w:t>3</w:t>
      </w:r>
      <w:r>
        <w:rPr>
          <w:rFonts w:hint="eastAsia"/>
          <w:szCs w:val="21"/>
        </w:rPr>
        <w:t>, YU Ming-Jin</w:t>
      </w:r>
      <w:r>
        <w:rPr>
          <w:rFonts w:hint="eastAsia"/>
          <w:szCs w:val="21"/>
          <w:vertAlign w:val="superscript"/>
        </w:rPr>
        <w:t>1</w:t>
      </w:r>
      <w:r>
        <w:rPr>
          <w:rFonts w:hint="eastAsia"/>
          <w:szCs w:val="21"/>
        </w:rPr>
        <w:t>, PAN Jie</w:t>
      </w:r>
      <w:r>
        <w:rPr>
          <w:rFonts w:hint="eastAsia"/>
          <w:szCs w:val="21"/>
          <w:vertAlign w:val="superscript"/>
        </w:rPr>
        <w:t>1</w:t>
      </w:r>
      <w:r>
        <w:rPr>
          <w:rFonts w:hint="eastAsia"/>
          <w:szCs w:val="21"/>
        </w:rPr>
        <w:t>, WANG Zi-Rui</w:t>
      </w:r>
      <w:r>
        <w:rPr>
          <w:rFonts w:hint="eastAsia"/>
          <w:szCs w:val="21"/>
          <w:vertAlign w:val="superscript"/>
        </w:rPr>
        <w:t>1</w:t>
      </w:r>
      <w:r>
        <w:rPr>
          <w:rFonts w:hint="eastAsia"/>
          <w:szCs w:val="21"/>
        </w:rPr>
        <w:t>, CHAO Bi-Hui</w:t>
      </w:r>
      <w:r>
        <w:rPr>
          <w:rFonts w:hint="eastAsia"/>
          <w:szCs w:val="21"/>
          <w:vertAlign w:val="superscript"/>
        </w:rPr>
        <w:t>1</w:t>
      </w:r>
      <w:r>
        <w:rPr>
          <w:rFonts w:hint="eastAsia"/>
          <w:szCs w:val="21"/>
        </w:rPr>
        <w:t>, WANG Wen-Min</w:t>
      </w:r>
      <w:r>
        <w:rPr>
          <w:rFonts w:hint="eastAsia"/>
          <w:szCs w:val="21"/>
          <w:vertAlign w:val="superscript"/>
        </w:rPr>
        <w:t>2</w:t>
      </w:r>
      <w:r>
        <w:rPr>
          <w:rFonts w:hint="eastAsia"/>
          <w:szCs w:val="21"/>
        </w:rPr>
        <w:t>, XIAO Jing</w:t>
      </w:r>
      <w:r>
        <w:rPr>
          <w:rFonts w:hint="eastAsia"/>
          <w:szCs w:val="21"/>
          <w:vertAlign w:val="superscript"/>
        </w:rPr>
        <w:t>2</w:t>
      </w:r>
      <w:r>
        <w:rPr>
          <w:rFonts w:hint="eastAsia"/>
          <w:szCs w:val="21"/>
        </w:rPr>
        <w:t xml:space="preserve">  and YANG Zhu-Qing</w:t>
      </w:r>
      <w:r>
        <w:rPr>
          <w:rFonts w:hint="eastAsia"/>
          <w:szCs w:val="21"/>
          <w:vertAlign w:val="superscript"/>
        </w:rPr>
        <w:t>1, 2</w:t>
      </w:r>
    </w:p>
    <w:p w14:paraId="54890B0F">
      <w:pPr>
        <w:jc w:val="center"/>
        <w:rPr>
          <w:szCs w:val="21"/>
        </w:rPr>
      </w:pPr>
      <w:r>
        <w:rPr>
          <w:rFonts w:hint="eastAsia"/>
          <w:szCs w:val="21"/>
        </w:rPr>
        <w:t>(</w:t>
      </w:r>
      <w:r>
        <w:rPr>
          <w:rFonts w:hint="eastAsia"/>
          <w:i/>
          <w:iCs/>
          <w:szCs w:val="21"/>
        </w:rPr>
        <w:t>1. Key Laboratory of Featured Hydrobios Nutritional Physiology and Healthy Breeding, Nanchang 330045, China;2. Public Basic Experiment Teaching Center of Jiangxi Agricultural University, Nanchang 330045, China;3. College of Bioscience and Bioengineering of Jiangxi Agricultural University, Nanchang 330045, China</w:t>
      </w:r>
      <w:r>
        <w:rPr>
          <w:rFonts w:hint="eastAsia"/>
          <w:szCs w:val="21"/>
        </w:rPr>
        <w:t>)</w:t>
      </w:r>
    </w:p>
    <w:p w14:paraId="53791105">
      <w:pPr>
        <w:rPr>
          <w:rFonts w:hint="eastAsia"/>
          <w:szCs w:val="21"/>
        </w:rPr>
      </w:pPr>
      <w:r>
        <w:rPr>
          <w:b/>
          <w:bCs/>
          <w:szCs w:val="21"/>
        </w:rPr>
        <w:t>Abstract</w:t>
      </w:r>
      <w:r>
        <w:rPr>
          <w:rFonts w:hint="eastAsia"/>
          <w:b/>
          <w:bCs/>
          <w:szCs w:val="21"/>
        </w:rPr>
        <w:t xml:space="preserve">: </w:t>
      </w:r>
      <w:r>
        <w:rPr>
          <w:rFonts w:hint="eastAsia"/>
          <w:szCs w:val="21"/>
        </w:rPr>
        <w:t>To investigate the effects of Lactobacillus johnsonii CIP103620 on the growth performance and lipid metabolism of Monopterus albus,180 M.albus individuals were randomly divided into a control group(CL,basic feed),a fermentation group(JF,1×10</w:t>
      </w:r>
      <w:r>
        <w:rPr>
          <w:rFonts w:hint="eastAsia"/>
          <w:szCs w:val="21"/>
          <w:vertAlign w:val="superscript"/>
        </w:rPr>
        <w:t xml:space="preserve">7 </w:t>
      </w:r>
      <w:r>
        <w:rPr>
          <w:rFonts w:hint="eastAsia"/>
          <w:szCs w:val="21"/>
        </w:rPr>
        <w:t>CFU/g L.johnsonii fermentation feed),and a spraying group(JS,surface spray-ing with the same amount of live bacteria feed).The feeding experiment lasted for 8 weeks.Results showed that compared with the control group,the final weight,weight gain rate,and specific growth rate were significantly increased in both the JF group and JS group(</w:t>
      </w:r>
      <w:r>
        <w:rPr>
          <w:rFonts w:hint="default" w:ascii="Times New Roman Italic" w:hAnsi="Times New Roman Italic" w:cs="Times New Roman Italic"/>
          <w:i/>
          <w:iCs/>
          <w:szCs w:val="21"/>
        </w:rPr>
        <w:t>P</w:t>
      </w:r>
      <w:r>
        <w:rPr>
          <w:rFonts w:hint="eastAsia"/>
          <w:szCs w:val="21"/>
        </w:rPr>
        <w:t>&lt;0.05),with a more pronounced effect observed in the JS group.Both treatment groups significantly increased the crude fat content in whole fish and muscle(</w:t>
      </w:r>
      <w:r>
        <w:rPr>
          <w:rFonts w:hint="default" w:ascii="Times New Roman Italic" w:hAnsi="Times New Roman Italic" w:cs="Times New Roman Italic"/>
          <w:i/>
          <w:iCs/>
          <w:szCs w:val="21"/>
        </w:rPr>
        <w:t>P</w:t>
      </w:r>
      <w:r>
        <w:rPr>
          <w:rFonts w:hint="eastAsia"/>
          <w:szCs w:val="21"/>
        </w:rPr>
        <w:t>&lt;0.05)and reduced the lipid deposition in the liver(</w:t>
      </w:r>
      <w:r>
        <w:rPr>
          <w:rFonts w:hint="default" w:ascii="Times New Roman Italic" w:hAnsi="Times New Roman Italic" w:cs="Times New Roman Italic"/>
          <w:i/>
          <w:iCs/>
          <w:szCs w:val="21"/>
        </w:rPr>
        <w:t>P</w:t>
      </w:r>
      <w:r>
        <w:rPr>
          <w:rFonts w:hint="eastAsia"/>
          <w:szCs w:val="21"/>
        </w:rPr>
        <w:t>&lt;0.05).In addition,both groups significantly reduced the levels of serum triglycerides,total cholesterol,low</w:t>
      </w:r>
      <w:r>
        <w:rPr>
          <w:rFonts w:hint="eastAsia"/>
          <w:szCs w:val="21"/>
          <w:lang w:val="en-US" w:eastAsia="zh-CN"/>
        </w:rPr>
        <w:t xml:space="preserve"> </w:t>
      </w:r>
      <w:r>
        <w:rPr>
          <w:rFonts w:hint="eastAsia"/>
          <w:szCs w:val="21"/>
        </w:rPr>
        <w:t>density lipoprotein cholesterol,and non</w:t>
      </w:r>
      <w:r>
        <w:rPr>
          <w:rFonts w:hint="eastAsia"/>
          <w:szCs w:val="21"/>
          <w:lang w:val="en-US" w:eastAsia="zh-CN"/>
        </w:rPr>
        <w:t xml:space="preserve"> </w:t>
      </w:r>
      <w:r>
        <w:rPr>
          <w:rFonts w:hint="eastAsia"/>
          <w:szCs w:val="21"/>
        </w:rPr>
        <w:t>esterified free fatty acids(</w:t>
      </w:r>
      <w:r>
        <w:rPr>
          <w:rFonts w:hint="default" w:ascii="Times New Roman Italic" w:hAnsi="Times New Roman Italic" w:cs="Times New Roman Italic"/>
          <w:i/>
          <w:iCs/>
          <w:szCs w:val="21"/>
        </w:rPr>
        <w:t>P</w:t>
      </w:r>
      <w:r>
        <w:rPr>
          <w:rFonts w:hint="eastAsia"/>
          <w:szCs w:val="21"/>
        </w:rPr>
        <w:t>&lt;0.05),and increased the activi</w:t>
      </w:r>
      <w:r>
        <w:rPr>
          <w:rFonts w:hint="eastAsia"/>
          <w:szCs w:val="21"/>
          <w:lang w:val="en-US" w:eastAsia="zh-CN"/>
        </w:rPr>
        <w:t xml:space="preserve"> </w:t>
      </w:r>
      <w:r>
        <w:rPr>
          <w:rFonts w:hint="eastAsia"/>
          <w:szCs w:val="21"/>
        </w:rPr>
        <w:t>ties of hepatic lipase,lipoprotein lipase,and total lipase(</w:t>
      </w:r>
      <w:r>
        <w:rPr>
          <w:rFonts w:hint="default" w:ascii="Times New Roman Italic" w:hAnsi="Times New Roman Italic" w:cs="Times New Roman Italic"/>
          <w:i/>
          <w:iCs/>
          <w:szCs w:val="21"/>
        </w:rPr>
        <w:t>P</w:t>
      </w:r>
      <w:r>
        <w:rPr>
          <w:rFonts w:hint="eastAsia"/>
          <w:szCs w:val="21"/>
        </w:rPr>
        <w:t>&lt;0.05).Gene expression</w:t>
      </w:r>
      <w:r>
        <w:rPr>
          <w:rFonts w:hint="eastAsia"/>
          <w:szCs w:val="21"/>
          <w:lang w:val="en-US" w:eastAsia="zh-CN"/>
        </w:rPr>
        <w:t xml:space="preserve"> </w:t>
      </w:r>
      <w:r>
        <w:rPr>
          <w:rFonts w:hint="eastAsia"/>
          <w:szCs w:val="21"/>
        </w:rPr>
        <w:t>analysis revealed that the expres</w:t>
      </w:r>
      <w:r>
        <w:rPr>
          <w:rFonts w:hint="eastAsia"/>
          <w:szCs w:val="21"/>
          <w:lang w:val="en-US" w:eastAsia="zh-CN"/>
        </w:rPr>
        <w:t xml:space="preserve"> </w:t>
      </w:r>
      <w:r>
        <w:rPr>
          <w:rFonts w:hint="eastAsia"/>
          <w:szCs w:val="21"/>
        </w:rPr>
        <w:t>sion of lipolysis</w:t>
      </w:r>
      <w:r>
        <w:rPr>
          <w:rFonts w:hint="eastAsia"/>
          <w:szCs w:val="21"/>
          <w:lang w:val="en-US" w:eastAsia="zh-CN"/>
        </w:rPr>
        <w:t xml:space="preserve"> </w:t>
      </w:r>
      <w:r>
        <w:rPr>
          <w:rFonts w:hint="eastAsia"/>
          <w:szCs w:val="21"/>
        </w:rPr>
        <w:t>related genes(cpt1,lpl,hsl,</w:t>
      </w:r>
      <w:r>
        <w:rPr>
          <w:rFonts w:hint="eastAsia"/>
          <w:szCs w:val="21"/>
          <w:lang w:val="en-US" w:eastAsia="zh-CN"/>
        </w:rPr>
        <w:t xml:space="preserve"> </w:t>
      </w:r>
      <w:r>
        <w:rPr>
          <w:rFonts w:hint="eastAsia"/>
          <w:szCs w:val="21"/>
        </w:rPr>
        <w:t>atgls)and some lipogenic genes(acc1,fas)was significantly up</w:t>
      </w:r>
      <w:r>
        <w:rPr>
          <w:rFonts w:hint="eastAsia"/>
          <w:szCs w:val="21"/>
          <w:lang w:val="en-US" w:eastAsia="zh-CN"/>
        </w:rPr>
        <w:t xml:space="preserve"> </w:t>
      </w:r>
      <w:r>
        <w:rPr>
          <w:rFonts w:hint="eastAsia"/>
          <w:szCs w:val="21"/>
        </w:rPr>
        <w:t>regulated in the JS group,while the expression of acc2 gene was down-regulated(</w:t>
      </w:r>
      <w:r>
        <w:rPr>
          <w:rFonts w:hint="default" w:ascii="Times New Roman Italic" w:hAnsi="Times New Roman Italic" w:cs="Times New Roman Italic"/>
          <w:i/>
          <w:iCs/>
          <w:szCs w:val="21"/>
        </w:rPr>
        <w:t>P</w:t>
      </w:r>
      <w:r>
        <w:rPr>
          <w:rFonts w:hint="eastAsia"/>
          <w:szCs w:val="21"/>
        </w:rPr>
        <w:t>&lt;0.05).The up</w:t>
      </w:r>
      <w:r>
        <w:rPr>
          <w:rFonts w:hint="eastAsia"/>
          <w:szCs w:val="21"/>
          <w:lang w:val="en-US" w:eastAsia="zh-CN"/>
        </w:rPr>
        <w:t xml:space="preserve"> </w:t>
      </w:r>
      <w:r>
        <w:rPr>
          <w:rFonts w:hint="eastAsia"/>
          <w:szCs w:val="21"/>
        </w:rPr>
        <w:t>regulation of lipolysis-related gene expression in the JF group was weaker.Therefore,L.johnsonii may effectively promote the growth of M.albus and improve lipid metabolism homeostasis by enhancing lipid catabolism in the liver and regulating the expression of related genes.Comprehensive analysis showed that the live bacteria spraying treatment had a more significant effect on promoting growth and regulating lipid metabolism,and was a more suitable application method for probiotics.</w:t>
      </w:r>
    </w:p>
    <w:p w14:paraId="198EC38D">
      <w:pPr>
        <w:rPr>
          <w:rFonts w:hint="default" w:ascii="Times New Roman Italic" w:hAnsi="Times New Roman Italic" w:cs="Times New Roman Italic"/>
          <w:i/>
          <w:iCs/>
          <w:szCs w:val="21"/>
        </w:rPr>
      </w:pPr>
      <w:r>
        <w:rPr>
          <w:b/>
          <w:bCs/>
          <w:szCs w:val="21"/>
        </w:rPr>
        <w:t>Key words</w:t>
      </w:r>
      <w:r>
        <w:rPr>
          <w:rFonts w:hint="eastAsia"/>
          <w:b/>
          <w:bCs/>
          <w:szCs w:val="21"/>
        </w:rPr>
        <w:t xml:space="preserve">: </w:t>
      </w:r>
      <w:r>
        <w:rPr>
          <w:rFonts w:hint="eastAsia"/>
          <w:szCs w:val="21"/>
        </w:rPr>
        <w:t xml:space="preserve">Growth performance; Lipid metabolism; </w:t>
      </w:r>
      <w:r>
        <w:rPr>
          <w:rFonts w:hint="default" w:ascii="Times New Roman Italic" w:hAnsi="Times New Roman Italic" w:cs="Times New Roman Italic"/>
          <w:i/>
          <w:iCs/>
          <w:szCs w:val="21"/>
        </w:rPr>
        <w:t>Lactobacillus johnsonii; Monopterus albus</w:t>
      </w:r>
    </w:p>
    <w:p w14:paraId="46DE617B">
      <w:pPr>
        <w:rPr>
          <w:szCs w:val="21"/>
        </w:rPr>
      </w:pPr>
    </w:p>
    <w:p w14:paraId="72ED4ED8">
      <w:pPr>
        <w:spacing w:line="360" w:lineRule="auto"/>
        <w:ind w:firstLine="480" w:firstLineChars="200"/>
        <w:rPr>
          <w:rFonts w:hint="eastAsia"/>
          <w:sz w:val="24"/>
        </w:rPr>
      </w:pPr>
      <w:r>
        <w:rPr>
          <w:rFonts w:hint="eastAsia"/>
          <w:sz w:val="24"/>
        </w:rPr>
        <w:t>黄鳝(</w:t>
      </w:r>
      <w:r>
        <w:rPr>
          <w:rFonts w:hint="default" w:ascii="Times New Roman Italic" w:hAnsi="Times New Roman Italic" w:cs="Times New Roman Italic"/>
          <w:i/>
          <w:iCs/>
          <w:sz w:val="24"/>
        </w:rPr>
        <w:t>Monopterus albus</w:t>
      </w:r>
      <w:r>
        <w:rPr>
          <w:rFonts w:hint="eastAsia"/>
          <w:sz w:val="24"/>
        </w:rPr>
        <w:t>)是我国重要的淡水经济养殖鱼类,因其肉质鲜美、营养丰富而备受青睐,市场供不应求。近年来,随着黄鳝集约化养殖模式发展,开发安全、高效的饲料添加剂以促进生长和改善健康已成为产业提质增效的关键。益生菌作为绿色添加剂在此背景下备受关注,其中乳酸菌作为一类能够发酵碳水化合物产生乳酸的微生物,在调节宿主代谢、改善健康方面展现出巨大潜力</w:t>
      </w:r>
      <w:r>
        <w:rPr>
          <w:rFonts w:hint="eastAsia"/>
          <w:sz w:val="24"/>
          <w:vertAlign w:val="superscript"/>
        </w:rPr>
        <w:t>[1]</w:t>
      </w:r>
      <w:r>
        <w:rPr>
          <w:rFonts w:hint="eastAsia"/>
          <w:sz w:val="24"/>
        </w:rPr>
        <w:t>。约氏乳杆菌(</w:t>
      </w:r>
      <w:r>
        <w:rPr>
          <w:rFonts w:hint="default" w:ascii="Times New Roman Italic" w:hAnsi="Times New Roman Italic" w:cs="Times New Roman Italic"/>
          <w:i/>
          <w:iCs/>
          <w:sz w:val="24"/>
        </w:rPr>
        <w:t>Lactobacillus johnsonii</w:t>
      </w:r>
      <w:r>
        <w:rPr>
          <w:rFonts w:hint="eastAsia"/>
          <w:sz w:val="24"/>
        </w:rPr>
        <w:t>)是其中具有代表性的益生菌种,在提高动物生长性能与饲料利用率、增强免疫力及调节脂质代谢等方面效果显著</w:t>
      </w:r>
      <w:r>
        <w:rPr>
          <w:rFonts w:hint="eastAsia"/>
          <w:sz w:val="24"/>
          <w:vertAlign w:val="superscript"/>
        </w:rPr>
        <w:t>[2,3]</w:t>
      </w:r>
      <w:r>
        <w:rPr>
          <w:rFonts w:hint="eastAsia"/>
          <w:sz w:val="24"/>
        </w:rPr>
        <w:t>。其主要通过增强肠道屏障结构与功能、优化肠道菌群组成及调节宿主免疫状态,来促进营养物质的消化吸收和动物生长发育,并缓解炎症</w:t>
      </w:r>
      <w:r>
        <w:rPr>
          <w:rFonts w:hint="eastAsia"/>
          <w:sz w:val="24"/>
          <w:vertAlign w:val="superscript"/>
        </w:rPr>
        <w:t>[2—4]</w:t>
      </w:r>
      <w:r>
        <w:rPr>
          <w:rFonts w:hint="eastAsia"/>
          <w:sz w:val="24"/>
        </w:rPr>
        <w:t>。多项畜禽研究为此提供了证据:在肉鸡日粮中,添加约氏乳杆菌可通过改善肠道菌群结构和增强肠道屏障,显著提高肉鸡采食量和饲料效率</w:t>
      </w:r>
      <w:r>
        <w:rPr>
          <w:rFonts w:hint="default" w:ascii="Times New Roman" w:hAnsi="Times New Roman" w:cs="Times New Roman"/>
          <w:b w:val="0"/>
          <w:bCs w:val="0"/>
          <w:sz w:val="24"/>
          <w:vertAlign w:val="superscript"/>
        </w:rPr>
        <w:t>[5]</w:t>
      </w:r>
      <w:r>
        <w:rPr>
          <w:rFonts w:hint="eastAsia"/>
          <w:sz w:val="24"/>
        </w:rPr>
        <w:t>;在断奶仔猪中,特定的约氏乳杆菌(如RS-7、L531等)能有效提高仔猪的生长性能和饲料转化率、免疫抗氧化能力和对致病菌感染的抵抗力</w:t>
      </w:r>
      <w:r>
        <w:rPr>
          <w:rFonts w:hint="default" w:ascii="Times New Roman" w:hAnsi="Times New Roman" w:cs="Times New Roman"/>
          <w:b w:val="0"/>
          <w:bCs w:val="0"/>
          <w:sz w:val="24"/>
          <w:vertAlign w:val="superscript"/>
        </w:rPr>
        <w:t>[6,7]</w:t>
      </w:r>
      <w:r>
        <w:rPr>
          <w:rFonts w:hint="eastAsia"/>
          <w:sz w:val="24"/>
        </w:rPr>
        <w:t>,有效缓解仔猪腹泻率</w:t>
      </w:r>
      <w:r>
        <w:rPr>
          <w:rFonts w:hint="default" w:ascii="Times New Roman" w:hAnsi="Times New Roman" w:cs="Times New Roman"/>
          <w:b w:val="0"/>
          <w:bCs w:val="0"/>
          <w:sz w:val="24"/>
          <w:vertAlign w:val="superscript"/>
        </w:rPr>
        <w:t>[8]</w:t>
      </w:r>
      <w:r>
        <w:rPr>
          <w:rFonts w:hint="eastAsia"/>
          <w:sz w:val="24"/>
        </w:rPr>
        <w:t>;从绵羊粪便中分离的约氏乳杆菌M5可通过提高断奶羔羊血清和空肠黏膜中抗炎细胞因子水平,降低促炎细胞因子水平,增强断奶羔羊的免疫和抗氧化能力,缓解早期断奶应激导致的腹泻与生长抑制</w:t>
      </w:r>
      <w:r>
        <w:rPr>
          <w:rFonts w:hint="eastAsia"/>
          <w:sz w:val="24"/>
          <w:vertAlign w:val="superscript"/>
        </w:rPr>
        <w:t>[3]</w:t>
      </w:r>
      <w:r>
        <w:rPr>
          <w:rFonts w:hint="eastAsia"/>
          <w:sz w:val="24"/>
        </w:rPr>
        <w:t>。</w:t>
      </w:r>
    </w:p>
    <w:p w14:paraId="2C3A0D70">
      <w:pPr>
        <w:spacing w:line="360" w:lineRule="auto"/>
        <w:ind w:firstLine="480" w:firstLineChars="200"/>
        <w:rPr>
          <w:rFonts w:hint="eastAsia"/>
          <w:sz w:val="24"/>
        </w:rPr>
      </w:pPr>
      <w:r>
        <w:rPr>
          <w:rFonts w:hint="eastAsia"/>
          <w:sz w:val="24"/>
        </w:rPr>
        <w:t>除了促进生长外,约氏乳杆菌还能通过“肠−肝轴”调控宿主全身性的脂质代谢。一方面,它可通过调节肠道菌群及其有益代谢产物如短链脂肪酸(SCFAs)的丰度,抑制炎症信号通路(如M1巨噬细胞极化及相关细胞因子表达),从而改善肠道屏障功能与系统性炎症状态,间接影响脂质代谢稳态。如Cai等</w:t>
      </w:r>
      <w:r>
        <w:rPr>
          <w:rFonts w:hint="eastAsia"/>
          <w:sz w:val="24"/>
          <w:vertAlign w:val="superscript"/>
        </w:rPr>
        <w:t>[9]</w:t>
      </w:r>
      <w:r>
        <w:rPr>
          <w:rFonts w:hint="eastAsia"/>
          <w:sz w:val="24"/>
        </w:rPr>
        <w:t>对DSS诱导结肠炎的小鼠研究发现,约氏乳杆菌GLJ001可减轻结肠炎引起的体重下降、疾病活动指数升高、结肠缩短及组织损伤等症状,这主要是通过增加短链脂肪酸的丰度,抑制M1巨噬细胞标志物(Inos和CD86)和炎症性细胞因子(tnf-α和il-1β)表达,恢复肠道屏障功能。另一方面,它可直接促进肠道上皮细胞增殖,或激活肠道上皮细胞的肝脏X受体(LXR)通路,下调胆固醇吸收关键蛋白(NPC1L1)和胆固醇转运蛋白(ABCG5)的表达,从而降低血清中总胆固醇(T-CHO)、低密度脂蛋白胆固醇(LDL-C)等循环胆固醇水平</w:t>
      </w:r>
      <w:r>
        <w:rPr>
          <w:rFonts w:hint="eastAsia"/>
          <w:sz w:val="24"/>
          <w:vertAlign w:val="superscript"/>
        </w:rPr>
        <w:t>[10]</w:t>
      </w:r>
      <w:r>
        <w:rPr>
          <w:rFonts w:hint="eastAsia"/>
          <w:sz w:val="24"/>
        </w:rPr>
        <w:t>。这些机制在畜禽研究中已得到验证,例如饲料添加约氏乳杆菌BS15可显著降低肉鸡血清甘油三酯(TG)和LDL-C及腹部脂肪沉积</w:t>
      </w:r>
      <w:r>
        <w:rPr>
          <w:rFonts w:hint="eastAsia"/>
          <w:sz w:val="24"/>
          <w:vertAlign w:val="superscript"/>
        </w:rPr>
        <w:t>[11]</w:t>
      </w:r>
      <w:r>
        <w:rPr>
          <w:rFonts w:hint="eastAsia"/>
          <w:sz w:val="24"/>
        </w:rPr>
        <w:t>。</w:t>
      </w:r>
    </w:p>
    <w:p w14:paraId="1284F3C5">
      <w:pPr>
        <w:spacing w:line="360" w:lineRule="auto"/>
        <w:ind w:firstLine="480" w:firstLineChars="200"/>
        <w:rPr>
          <w:rFonts w:hint="eastAsia"/>
          <w:sz w:val="24"/>
        </w:rPr>
      </w:pPr>
      <w:r>
        <w:rPr>
          <w:rFonts w:hint="eastAsia"/>
          <w:sz w:val="24"/>
        </w:rPr>
        <w:t>综上所述,约氏乳杆菌是一种在改善动物生长性能与调控脂质代谢等方面具有巨大潜力的益生菌。然而,目前相关研究主要集中在陆生畜禽,其在重要水产养殖动物(如黄鳝)中的应用效果与作用机制尚属空白。鉴于此,本研究通过约氏乳杆菌CIP103620发酵饲料和活菌喷洒饲料,来系统研究其对黄鳝生长与脂质代谢的影响,并评价其适宜的应用方式,以期为黄鳝专用益生菌饲料添加剂开发提供理论依据与实践参考。</w:t>
      </w:r>
    </w:p>
    <w:p w14:paraId="7DF6B3DB">
      <w:pPr>
        <w:spacing w:line="360" w:lineRule="auto"/>
        <w:ind w:firstLine="480" w:firstLineChars="200"/>
        <w:rPr>
          <w:rFonts w:hint="eastAsia"/>
          <w:sz w:val="24"/>
        </w:rPr>
      </w:pPr>
      <w:r>
        <w:rPr>
          <w:rFonts w:hint="eastAsia"/>
          <w:sz w:val="24"/>
        </w:rPr>
        <w:t>1材料与方法</w:t>
      </w:r>
    </w:p>
    <w:p w14:paraId="3135DECE">
      <w:pPr>
        <w:spacing w:line="360" w:lineRule="auto"/>
        <w:ind w:firstLine="480" w:firstLineChars="200"/>
        <w:rPr>
          <w:rFonts w:hint="eastAsia"/>
          <w:sz w:val="24"/>
        </w:rPr>
      </w:pPr>
      <w:r>
        <w:rPr>
          <w:rFonts w:hint="eastAsia"/>
          <w:sz w:val="24"/>
        </w:rPr>
        <w:t>1.1实验鱼及试验设计</w:t>
      </w:r>
    </w:p>
    <w:p w14:paraId="3B2B809A">
      <w:pPr>
        <w:spacing w:line="360" w:lineRule="auto"/>
        <w:ind w:firstLine="480" w:firstLineChars="200"/>
        <w:rPr>
          <w:rFonts w:hint="eastAsia"/>
          <w:sz w:val="24"/>
        </w:rPr>
      </w:pPr>
      <w:r>
        <w:rPr>
          <w:rFonts w:hint="eastAsia"/>
          <w:sz w:val="24"/>
        </w:rPr>
        <w:t>选择体质健康、体重均匀(16±0.05)g的黄鳝180尾,随机分为3组,每组3个重复,每个重复20尾。分别投喂以下3种饲料:(1)对照组(CL):未作任何处理的基础饲料;(2)发酵组(JF):使用1×10</w:t>
      </w:r>
      <w:r>
        <w:rPr>
          <w:rFonts w:hint="eastAsia"/>
          <w:sz w:val="24"/>
          <w:vertAlign w:val="superscript"/>
        </w:rPr>
        <w:t>7</w:t>
      </w:r>
      <w:r>
        <w:rPr>
          <w:rFonts w:hint="eastAsia"/>
          <w:sz w:val="24"/>
        </w:rPr>
        <w:t xml:space="preserve"> CFU/g约氏乳杆菌CIP103620(本实验室保藏)发酵制备的饲料;(3)喷洒组(JS):喷洒同浓度菌悬液的基础饲料,最终菌量为1×10</w:t>
      </w:r>
      <w:r>
        <w:rPr>
          <w:rFonts w:hint="eastAsia"/>
          <w:sz w:val="24"/>
          <w:vertAlign w:val="superscript"/>
        </w:rPr>
        <w:t xml:space="preserve">7 </w:t>
      </w:r>
      <w:r>
        <w:rPr>
          <w:rFonts w:hint="eastAsia"/>
          <w:sz w:val="24"/>
        </w:rPr>
        <w:t>CFU/g。鱼粉、豆粕、玉米蛋白粉以及大豆浓缩蛋白等主要饲料原料均购自南昌市经济技术开发区诚信饲料店,豆油和小麦芯粉购自益海嘉里食品营销有限公司。基础饲料原料经粉碎后过80目筛,混合均匀后膨化、制粒,加工成粒径1 mm的颗粒饲料(表1)。发酵饲料制备方法如下:将1×10</w:t>
      </w:r>
      <w:r>
        <w:rPr>
          <w:rFonts w:hint="eastAsia"/>
          <w:sz w:val="24"/>
          <w:vertAlign w:val="superscript"/>
        </w:rPr>
        <w:t>7</w:t>
      </w:r>
      <w:r>
        <w:rPr>
          <w:rFonts w:hint="eastAsia"/>
          <w:sz w:val="24"/>
        </w:rPr>
        <w:t xml:space="preserve"> CFU/g约氏乳杆菌与基</w:t>
      </w:r>
    </w:p>
    <w:p w14:paraId="1DAB6484">
      <w:pPr>
        <w:spacing w:line="360" w:lineRule="auto"/>
        <w:ind w:firstLine="480" w:firstLineChars="200"/>
        <w:rPr>
          <w:rFonts w:hint="eastAsia"/>
          <w:sz w:val="24"/>
        </w:rPr>
      </w:pPr>
      <w:r>
        <w:rPr>
          <w:rFonts w:hint="eastAsia"/>
          <w:sz w:val="24"/>
        </w:rPr>
        <w:t>础饲料原料混匀,加入灭菌水调节含水量至40%,装入带单向排气阀的发酵密封袋,于37℃发酵48h,略经晾干后制粒。喷洒组饲料制备时,将约氏乳杆菌悬液均匀喷洒到基础饲料颗粒表面,使其达到目标菌量(1×10</w:t>
      </w:r>
      <w:r>
        <w:rPr>
          <w:rFonts w:hint="eastAsia"/>
          <w:sz w:val="24"/>
          <w:vertAlign w:val="superscript"/>
        </w:rPr>
        <w:t>7</w:t>
      </w:r>
      <w:r>
        <w:rPr>
          <w:rFonts w:hint="eastAsia"/>
          <w:sz w:val="24"/>
        </w:rPr>
        <w:t xml:space="preserve"> CFU/g),随后立即置于–20℃冰箱保存,所有实验饲料均在3d内使用。</w:t>
      </w:r>
    </w:p>
    <w:p w14:paraId="63E0CA5A">
      <w:pPr>
        <w:spacing w:line="360" w:lineRule="auto"/>
        <w:rPr>
          <w:rFonts w:hint="eastAsia"/>
          <w:sz w:val="24"/>
        </w:rPr>
      </w:pPr>
      <w:r>
        <w:rPr>
          <w:rFonts w:hint="eastAsia"/>
          <w:sz w:val="24"/>
        </w:rPr>
        <w:t>1.2日常管理</w:t>
      </w:r>
    </w:p>
    <w:p w14:paraId="64EA6897">
      <w:pPr>
        <w:spacing w:line="360" w:lineRule="auto"/>
        <w:ind w:firstLine="480" w:firstLineChars="200"/>
        <w:rPr>
          <w:rFonts w:hint="eastAsia"/>
          <w:sz w:val="24"/>
        </w:rPr>
      </w:pPr>
      <w:r>
        <w:rPr>
          <w:rFonts w:hint="eastAsia"/>
          <w:sz w:val="24"/>
        </w:rPr>
        <w:t>所有黄鳝饲养于江西农业大学水产养殖基地的同一温室大棚的养殖箱(150 cm×100 cm×100 cm),水面铺设水葫芦以模拟自然生态环境。养殖用水经充分曝气,水深20—30 cm(视气温和水温动态调整),水温25—30℃,pH 6.8—7.0,溶解氧&gt;6.0 mg/L,氨氮&lt;1.4 mg/L,亚硝酸盐&lt;0.01 mg/L,并根据水质情况换水2—3次/周,光照为自然光。预试验2周,正式试验8周。每日17:00定时饱食投喂,并及时清理残饵和记录黄鳝摄食和死亡情况。</w:t>
      </w:r>
    </w:p>
    <w:p w14:paraId="02318928">
      <w:pPr>
        <w:spacing w:line="360" w:lineRule="auto"/>
        <w:rPr>
          <w:rFonts w:hint="eastAsia"/>
          <w:sz w:val="24"/>
        </w:rPr>
      </w:pPr>
      <w:r>
        <w:rPr>
          <w:rFonts w:hint="eastAsia"/>
          <w:sz w:val="24"/>
        </w:rPr>
        <w:t>1.3样品采集及指标测定</w:t>
      </w:r>
    </w:p>
    <w:p w14:paraId="5D8BB29C">
      <w:pPr>
        <w:spacing w:line="360" w:lineRule="auto"/>
        <w:ind w:firstLine="480" w:firstLineChars="200"/>
        <w:rPr>
          <w:rFonts w:hint="eastAsia"/>
          <w:sz w:val="24"/>
        </w:rPr>
      </w:pPr>
      <w:r>
        <w:rPr>
          <w:rFonts w:hint="eastAsia"/>
          <w:sz w:val="24"/>
        </w:rPr>
        <w:t>样品采集在正式试验结束后,每组随机选择30尾(每箱10尾)用250 mg/L MS-222(Sigma Aldrich,USA)麻醉,解剖,收集血液、肝脏、肌肉和全鱼等样品,用于血液理化指标、体成分、肝脏脂质及脂肪代谢相关酶活性等测定,并严格按照实验要求采集分子实验所需的肝脏RNA样品。生长性能与形体指标测定在正式试验结束后,统计每箱黄鳝采食量和存活尾数。随后进行解剖,分离内脏、肝脏、肠道及脾脏等组织器官并精确称重,同时测定胴体重、体长、头肛长等形态数据。根据以下公式计算相关指标:</w:t>
      </w:r>
    </w:p>
    <w:p w14:paraId="72AFD228">
      <w:pPr>
        <w:spacing w:line="360" w:lineRule="auto"/>
        <w:rPr>
          <w:rFonts w:hint="eastAsia"/>
          <w:sz w:val="24"/>
        </w:rPr>
      </w:pPr>
      <w:r>
        <w:rPr>
          <w:rFonts w:hint="eastAsia"/>
          <w:sz w:val="24"/>
        </w:rPr>
        <w:t>增重率(WGR,%)=[(末重–初重)/初重]×100</w:t>
      </w:r>
    </w:p>
    <w:p w14:paraId="0E2F44E1">
      <w:pPr>
        <w:spacing w:line="360" w:lineRule="auto"/>
        <w:rPr>
          <w:rFonts w:hint="eastAsia"/>
          <w:sz w:val="24"/>
        </w:rPr>
      </w:pPr>
      <w:r>
        <w:rPr>
          <w:rFonts w:hint="eastAsia"/>
          <w:sz w:val="24"/>
        </w:rPr>
        <w:t>特定生长率(SGR,%/d)=[(ln末重–ln初重)/饲养天数]×100</w:t>
      </w:r>
    </w:p>
    <w:p w14:paraId="4E7828C3">
      <w:pPr>
        <w:spacing w:line="360" w:lineRule="auto"/>
        <w:rPr>
          <w:rFonts w:hint="eastAsia"/>
          <w:sz w:val="24"/>
        </w:rPr>
      </w:pPr>
      <w:r>
        <w:rPr>
          <w:rFonts w:hint="eastAsia"/>
          <w:sz w:val="24"/>
        </w:rPr>
        <w:t>日均采食量[ADFI,g/(I·d)]=总采食量/(总尾数×饲养天数)</w:t>
      </w:r>
    </w:p>
    <w:p w14:paraId="3C0BBDDB">
      <w:pPr>
        <w:spacing w:line="360" w:lineRule="auto"/>
        <w:rPr>
          <w:rFonts w:hint="eastAsia"/>
          <w:sz w:val="24"/>
        </w:rPr>
      </w:pPr>
      <w:r>
        <w:rPr>
          <w:rFonts w:hint="eastAsia"/>
          <w:sz w:val="24"/>
        </w:rPr>
        <w:t>存活率(SR,%)=(终末尾数/初始尾数)×100</w:t>
      </w:r>
    </w:p>
    <w:p w14:paraId="2F000D66">
      <w:pPr>
        <w:spacing w:line="360" w:lineRule="auto"/>
        <w:rPr>
          <w:rFonts w:hint="eastAsia"/>
          <w:sz w:val="24"/>
        </w:rPr>
      </w:pPr>
      <w:r>
        <w:rPr>
          <w:rFonts w:hint="eastAsia"/>
          <w:sz w:val="24"/>
        </w:rPr>
        <w:t>脏体指数(VSI)=(内脏重/体重)×100肝体指数(HSI)=(肝脏重/体重)×100肠体指数(VI)=(肠道重/体重)×100</w:t>
      </w:r>
    </w:p>
    <w:p w14:paraId="3BF6DD83">
      <w:pPr>
        <w:spacing w:line="360" w:lineRule="auto"/>
        <w:rPr>
          <w:rFonts w:hint="eastAsia"/>
          <w:sz w:val="24"/>
        </w:rPr>
      </w:pPr>
      <w:r>
        <w:rPr>
          <w:rFonts w:hint="eastAsia"/>
          <w:sz w:val="24"/>
        </w:rPr>
        <w:t>脾体指数(SI)=(脾脏重/体重)×100</w:t>
      </w:r>
    </w:p>
    <w:p w14:paraId="659CB09C">
      <w:pPr>
        <w:spacing w:line="360" w:lineRule="auto"/>
        <w:ind w:firstLine="480" w:firstLineChars="200"/>
        <w:rPr>
          <w:rFonts w:hint="eastAsia"/>
          <w:sz w:val="24"/>
        </w:rPr>
      </w:pPr>
      <w:r>
        <w:rPr>
          <w:rFonts w:hint="eastAsia"/>
          <w:sz w:val="24"/>
        </w:rPr>
        <w:t>体成分测定取全鱼、肝脏和肌肉样品,参照AOAC法(AOAC,1995)测定其常规养分含量:采用105℃烘箱干燥恒重法(GB/T 6435-86)测定水分含量,采用凯氏定氮法(GB/T 6432-94)测定粗蛋白含量,采用索氏抽提法(GB/T 6433-94)测定粗脂肪含量,采用550℃马弗炉灼烧法(GB/T 6438-92)测定粗灰分含量。</w:t>
      </w:r>
    </w:p>
    <w:p w14:paraId="4471D9C6">
      <w:pPr>
        <w:spacing w:line="360" w:lineRule="auto"/>
        <w:ind w:firstLine="480" w:firstLineChars="200"/>
        <w:rPr>
          <w:rFonts w:hint="eastAsia"/>
          <w:sz w:val="24"/>
        </w:rPr>
      </w:pPr>
      <w:r>
        <w:rPr>
          <w:rFonts w:hint="eastAsia"/>
          <w:sz w:val="24"/>
        </w:rPr>
        <w:t>血糖血脂测定黄鳝禁食24h后,采用断尾法采集血液于1.5 mL离心管中,4℃静置2h后,2500 r/min冷冻离心10min,吸取上层血清,–80℃冰箱保存待测。血清葡萄糖(GLU:A154-1-1)、TG(A110-1-1)、T-CHO(A111-1-1)、高密度脂蛋白胆固醇(HDL-C:A112-1-1)、LDL-C(A113-1-1)及非酯化游离脂肪酸(NEFA:A042-2-1)含量均使用南京建成生物工程研究所试剂盒测定,所有操作严格按照说明书进行。</w:t>
      </w:r>
    </w:p>
    <w:p w14:paraId="1A3580ED">
      <w:pPr>
        <w:spacing w:line="360" w:lineRule="auto"/>
        <w:ind w:firstLine="480" w:firstLineChars="200"/>
        <w:rPr>
          <w:rFonts w:hint="eastAsia"/>
          <w:sz w:val="24"/>
        </w:rPr>
      </w:pPr>
      <w:r>
        <w:rPr>
          <w:rFonts w:hint="eastAsia"/>
          <w:sz w:val="24"/>
        </w:rPr>
        <w:t>肝脏脂质含量与脂质代谢相关酶活性测定解剖后迅速取肝脏组织,液氮速冻后转移至–80℃冰箱保存。测定前,将肝脏组织与预冷的磷酸盐缓冲液(PBS,pH 7.4)按重量体积比1﹕9进行匀浆,随后于4℃、3000 r/min离心10min,取上清液作为待测样品。肝脏TG(A110-1-1)、T-CHO(A111-1-1)、LDL-C(A113-1-1)、HDL-C(A112-1-1)、总蛋白(TP:A045-4)、脂蛋白脂酶(LPL:A067-1-2)、肝脂酶(HL:A067-1-2)和总脂酶(TL:A067-1-2)的活性,均使用南京建成生物工程研究所试剂盒进行测定,所有操作严格按照说明书执行。</w:t>
      </w:r>
    </w:p>
    <w:p w14:paraId="5647BDA8">
      <w:pPr>
        <w:spacing w:line="360" w:lineRule="auto"/>
        <w:ind w:firstLine="480" w:firstLineChars="200"/>
        <w:rPr>
          <w:rFonts w:hint="eastAsia"/>
          <w:sz w:val="24"/>
        </w:rPr>
      </w:pPr>
      <w:r>
        <w:rPr>
          <w:rFonts w:hint="eastAsia"/>
          <w:sz w:val="24"/>
        </w:rPr>
        <w:t>肝脏脂质代谢相关基因表达分析(实时荧光定量PCR)采用TRIzol试剂(TaKaRa,日本)提取肝脏总RNA,使用NanoDrop2000(Thermo Fisher,美国)检测RNA浓度与纯度。经质检合格后,利用PrimeScript™反转录试剂盒(TaKaRa,日本)合成cDNA。采用Bio-Rad CFX96系统进行实时荧光定量PCR。反应体系为10μL,其中TB Green Premix Ex Tagll(TliRNaseH Plus)5μL,ROX Reference Dye 0.2μL,上下游引物各0.4μL,1μL cDNA模板及3μL DEPC水。反应程序:95℃预变性30s,随后进行40个循环的扩增(95℃变性5s,55—60℃退火30s以及72℃延伸20s),最终绘制熔解曲线验证产物特异性。以18S rRNA为内参基因,采用2</w:t>
      </w:r>
      <w:r>
        <w:rPr>
          <w:rFonts w:hint="eastAsia"/>
          <w:sz w:val="24"/>
          <w:vertAlign w:val="superscript"/>
        </w:rPr>
        <w:t>−ΔΔ</w:t>
      </w:r>
      <w:r>
        <w:rPr>
          <w:rFonts w:hint="eastAsia"/>
          <w:sz w:val="24"/>
        </w:rPr>
        <w:t>Ct法计算目标基因的相对表达量。引物序列见表2。</w:t>
      </w:r>
    </w:p>
    <w:p w14:paraId="3CE3A2AF">
      <w:pPr>
        <w:spacing w:line="360" w:lineRule="auto"/>
        <w:jc w:val="center"/>
        <w:rPr>
          <w:rFonts w:hint="eastAsia"/>
          <w:sz w:val="24"/>
        </w:rPr>
      </w:pPr>
      <w:r>
        <w:drawing>
          <wp:inline distT="0" distB="0" distL="114300" distR="114300">
            <wp:extent cx="4155440" cy="8744585"/>
            <wp:effectExtent l="0" t="0" r="10160" b="5715"/>
            <wp:docPr id="5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9"/>
                    <pic:cNvPicPr>
                      <a:picLocks noChangeAspect="1"/>
                    </pic:cNvPicPr>
                  </pic:nvPicPr>
                  <pic:blipFill>
                    <a:blip r:embed="rId33"/>
                    <a:stretch>
                      <a:fillRect/>
                    </a:stretch>
                  </pic:blipFill>
                  <pic:spPr>
                    <a:xfrm>
                      <a:off x="0" y="0"/>
                      <a:ext cx="4155440" cy="8744585"/>
                    </a:xfrm>
                    <a:prstGeom prst="rect">
                      <a:avLst/>
                    </a:prstGeom>
                    <a:noFill/>
                    <a:ln>
                      <a:noFill/>
                    </a:ln>
                  </pic:spPr>
                </pic:pic>
              </a:graphicData>
            </a:graphic>
          </wp:inline>
        </w:drawing>
      </w:r>
    </w:p>
    <w:p w14:paraId="27B15B61">
      <w:pPr>
        <w:spacing w:line="360" w:lineRule="auto"/>
        <w:jc w:val="center"/>
        <w:rPr>
          <w:rFonts w:hint="eastAsia"/>
          <w:sz w:val="24"/>
        </w:rPr>
      </w:pPr>
      <w:r>
        <w:drawing>
          <wp:inline distT="0" distB="0" distL="114300" distR="114300">
            <wp:extent cx="3403600" cy="4349115"/>
            <wp:effectExtent l="0" t="0" r="0" b="6985"/>
            <wp:docPr id="5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0"/>
                    <pic:cNvPicPr>
                      <a:picLocks noChangeAspect="1"/>
                    </pic:cNvPicPr>
                  </pic:nvPicPr>
                  <pic:blipFill>
                    <a:blip r:embed="rId34"/>
                    <a:srcRect b="5952"/>
                    <a:stretch>
                      <a:fillRect/>
                    </a:stretch>
                  </pic:blipFill>
                  <pic:spPr>
                    <a:xfrm>
                      <a:off x="0" y="0"/>
                      <a:ext cx="3403600" cy="4349115"/>
                    </a:xfrm>
                    <a:prstGeom prst="rect">
                      <a:avLst/>
                    </a:prstGeom>
                    <a:noFill/>
                    <a:ln>
                      <a:noFill/>
                    </a:ln>
                  </pic:spPr>
                </pic:pic>
              </a:graphicData>
            </a:graphic>
          </wp:inline>
        </w:drawing>
      </w:r>
    </w:p>
    <w:p w14:paraId="219715E0">
      <w:pPr>
        <w:spacing w:line="360" w:lineRule="auto"/>
        <w:rPr>
          <w:rFonts w:hint="eastAsia"/>
          <w:sz w:val="24"/>
        </w:rPr>
      </w:pPr>
      <w:r>
        <w:rPr>
          <w:rFonts w:hint="eastAsia"/>
          <w:sz w:val="24"/>
        </w:rPr>
        <w:t>2    结果</w:t>
      </w:r>
    </w:p>
    <w:p w14:paraId="54D443C4">
      <w:pPr>
        <w:spacing w:line="360" w:lineRule="auto"/>
        <w:rPr>
          <w:rFonts w:hint="eastAsia"/>
          <w:sz w:val="24"/>
        </w:rPr>
      </w:pPr>
      <w:r>
        <w:rPr>
          <w:rFonts w:hint="eastAsia"/>
          <w:sz w:val="24"/>
        </w:rPr>
        <w:t>2.1约氏乳杆菌对黄鳝生长性能和形体指标的影响</w:t>
      </w:r>
    </w:p>
    <w:p w14:paraId="601117F5">
      <w:pPr>
        <w:spacing w:line="360" w:lineRule="auto"/>
        <w:ind w:firstLine="480" w:firstLineChars="200"/>
        <w:rPr>
          <w:rFonts w:hint="eastAsia"/>
          <w:sz w:val="24"/>
        </w:rPr>
      </w:pPr>
      <w:r>
        <w:rPr>
          <w:rFonts w:hint="eastAsia"/>
          <w:sz w:val="24"/>
        </w:rPr>
        <w:t>各组黄鳝的生长性能和形体指标结果见表3。与对照组(CL)相比,约氏乳杆菌发酵饲料组(JF)和活菌喷洒组(JS)均显著提高了黄鳝的末均重(FBW)、增重率(WGR)和特定生长率(SGR)(</w:t>
      </w:r>
      <w:r>
        <w:rPr>
          <w:rFonts w:hint="default" w:ascii="Times New Roman Italic" w:hAnsi="Times New Roman Italic" w:cs="Times New Roman Italic"/>
          <w:i/>
          <w:iCs/>
          <w:sz w:val="24"/>
        </w:rPr>
        <w:t>P</w:t>
      </w:r>
      <w:r>
        <w:rPr>
          <w:rFonts w:hint="eastAsia"/>
          <w:sz w:val="24"/>
        </w:rPr>
        <w:t>&lt;0.05),其中JS组的促生长效果更为显著。此外,JF组的日均采食量(ADFI)显著高于对照组和JS组(</w:t>
      </w:r>
      <w:r>
        <w:rPr>
          <w:rFonts w:hint="default" w:ascii="Times New Roman Italic" w:hAnsi="Times New Roman Italic" w:cs="Times New Roman Italic"/>
          <w:i/>
          <w:iCs/>
          <w:sz w:val="24"/>
        </w:rPr>
        <w:t>P</w:t>
      </w:r>
      <w:r>
        <w:rPr>
          <w:rFonts w:hint="eastAsia"/>
          <w:sz w:val="24"/>
        </w:rPr>
        <w:t>&lt;0.05)。两种处理方式对黄鳝的存活率(SR)均未产生显著影响。在形体指标方面,JF组与JS组均显著降低了黄鳝的脾体指数(SI;</w:t>
      </w:r>
      <w:r>
        <w:rPr>
          <w:rFonts w:hint="default" w:ascii="Times New Roman Italic" w:hAnsi="Times New Roman Italic" w:cs="Times New Roman Italic"/>
          <w:i/>
          <w:iCs/>
          <w:sz w:val="24"/>
        </w:rPr>
        <w:t>P</w:t>
      </w:r>
      <w:r>
        <w:rPr>
          <w:rFonts w:hint="eastAsia"/>
          <w:sz w:val="24"/>
        </w:rPr>
        <w:t>&lt;0.05),但对脏体指数(VSI)、肝体指数(HSI)及肠体指数(VI)均无显著影响(</w:t>
      </w:r>
      <w:r>
        <w:rPr>
          <w:rFonts w:hint="default" w:ascii="Times New Roman Italic" w:hAnsi="Times New Roman Italic" w:cs="Times New Roman Italic"/>
          <w:i/>
          <w:iCs/>
          <w:sz w:val="24"/>
        </w:rPr>
        <w:t>P</w:t>
      </w:r>
      <w:r>
        <w:rPr>
          <w:rFonts w:hint="eastAsia"/>
          <w:sz w:val="24"/>
        </w:rPr>
        <w:t>&gt;0.05)。</w:t>
      </w:r>
    </w:p>
    <w:p w14:paraId="44D1E307">
      <w:pPr>
        <w:spacing w:line="360" w:lineRule="auto"/>
        <w:rPr>
          <w:rFonts w:hint="eastAsia"/>
          <w:sz w:val="24"/>
        </w:rPr>
      </w:pPr>
      <w:r>
        <w:rPr>
          <w:rFonts w:hint="eastAsia"/>
          <w:sz w:val="24"/>
        </w:rPr>
        <w:t>2.2   约氏乳杆菌对黄鳝体成分的影响</w:t>
      </w:r>
    </w:p>
    <w:p w14:paraId="312D55B9">
      <w:pPr>
        <w:spacing w:line="360" w:lineRule="auto"/>
        <w:ind w:firstLine="480" w:firstLineChars="200"/>
        <w:rPr>
          <w:rFonts w:hint="eastAsia"/>
          <w:sz w:val="24"/>
        </w:rPr>
      </w:pPr>
      <w:r>
        <w:rPr>
          <w:rFonts w:hint="eastAsia"/>
          <w:sz w:val="24"/>
        </w:rPr>
        <w:t>各组黄鳝的体成分分析结果见表4。与CL组相比,JF和JS组均显著提高了全鱼和肌肉的粗脂肪含量(</w:t>
      </w:r>
      <w:r>
        <w:rPr>
          <w:rFonts w:hint="default" w:ascii="Times New Roman Italic" w:hAnsi="Times New Roman Italic" w:cs="Times New Roman Italic"/>
          <w:i/>
          <w:iCs/>
          <w:sz w:val="24"/>
        </w:rPr>
        <w:t>P</w:t>
      </w:r>
      <w:r>
        <w:rPr>
          <w:rFonts w:hint="eastAsia"/>
          <w:sz w:val="24"/>
        </w:rPr>
        <w:t>&lt;0.05),同时显著降低了肝脏粗脂肪含量(</w:t>
      </w:r>
      <w:r>
        <w:rPr>
          <w:rFonts w:hint="default" w:ascii="Times New Roman Italic" w:hAnsi="Times New Roman Italic" w:cs="Times New Roman Italic"/>
          <w:i/>
          <w:iCs/>
          <w:sz w:val="24"/>
        </w:rPr>
        <w:t>P</w:t>
      </w:r>
      <w:r>
        <w:rPr>
          <w:rFonts w:hint="eastAsia"/>
          <w:sz w:val="24"/>
        </w:rPr>
        <w:t>&lt;0.05)。两种处理对全鱼的水分、粗蛋白、粗灰分以及肌肉水分均无显著影响(</w:t>
      </w:r>
      <w:r>
        <w:rPr>
          <w:rFonts w:hint="default" w:ascii="Times New Roman Italic" w:hAnsi="Times New Roman Italic" w:cs="Times New Roman Italic"/>
          <w:i/>
          <w:iCs/>
          <w:sz w:val="24"/>
        </w:rPr>
        <w:t>P</w:t>
      </w:r>
      <w:r>
        <w:rPr>
          <w:rFonts w:hint="eastAsia"/>
          <w:sz w:val="24"/>
        </w:rPr>
        <w:t>&gt;0.05)。此外,JF组与JS组之间的全鱼水分、粗灰分及肌肉水分等均未表现出显著差异(</w:t>
      </w:r>
      <w:r>
        <w:rPr>
          <w:rFonts w:hint="default" w:ascii="Times New Roman Italic" w:hAnsi="Times New Roman Italic" w:cs="Times New Roman Italic"/>
          <w:i/>
          <w:iCs/>
          <w:sz w:val="24"/>
        </w:rPr>
        <w:t>P</w:t>
      </w:r>
      <w:r>
        <w:rPr>
          <w:rFonts w:hint="eastAsia"/>
          <w:sz w:val="24"/>
        </w:rPr>
        <w:t>&gt;0.05)。</w:t>
      </w:r>
    </w:p>
    <w:p w14:paraId="01DBE681">
      <w:pPr>
        <w:spacing w:line="360" w:lineRule="auto"/>
        <w:ind w:firstLine="480" w:firstLineChars="200"/>
        <w:rPr>
          <w:rFonts w:hint="eastAsia"/>
          <w:sz w:val="24"/>
        </w:rPr>
      </w:pPr>
      <w:r>
        <w:rPr>
          <w:rFonts w:hint="eastAsia"/>
          <w:sz w:val="24"/>
        </w:rPr>
        <w:t>2.3   约氏乳杆菌对黄鳝血糖血脂的影响</w:t>
      </w:r>
    </w:p>
    <w:p w14:paraId="326A2FFE">
      <w:pPr>
        <w:spacing w:line="360" w:lineRule="auto"/>
        <w:ind w:firstLine="480" w:firstLineChars="200"/>
        <w:rPr>
          <w:rFonts w:hint="eastAsia"/>
          <w:sz w:val="24"/>
        </w:rPr>
      </w:pPr>
      <w:r>
        <w:rPr>
          <w:rFonts w:hint="eastAsia"/>
          <w:sz w:val="24"/>
        </w:rPr>
        <w:t>各组黄鳝血清生化指标测定结果见表5。约氏乳杆菌处理显著改善了黄鳝的血糖血脂状况。与CL组相比,JS组显著降低了血清NEFA、T-CHO及LDL-C含量(</w:t>
      </w:r>
      <w:r>
        <w:rPr>
          <w:rFonts w:hint="default" w:ascii="Times New Roman Italic" w:hAnsi="Times New Roman Italic" w:cs="Times New Roman Italic"/>
          <w:i/>
          <w:iCs/>
          <w:sz w:val="24"/>
        </w:rPr>
        <w:t>P</w:t>
      </w:r>
      <w:r>
        <w:rPr>
          <w:rFonts w:hint="eastAsia"/>
          <w:sz w:val="24"/>
        </w:rPr>
        <w:t>&lt;0.05),JF组仅显著降低了NEFA含量(</w:t>
      </w:r>
      <w:r>
        <w:rPr>
          <w:rFonts w:hint="default" w:ascii="Times New Roman Italic" w:hAnsi="Times New Roman Italic" w:cs="Times New Roman Italic"/>
          <w:i/>
          <w:iCs/>
          <w:sz w:val="24"/>
        </w:rPr>
        <w:t>P</w:t>
      </w:r>
      <w:r>
        <w:rPr>
          <w:rFonts w:hint="eastAsia"/>
          <w:sz w:val="24"/>
        </w:rPr>
        <w:t>&lt;0.05),对血清T-CHO与LDL-C含量无显著影响。</w:t>
      </w:r>
    </w:p>
    <w:p w14:paraId="124BAA31">
      <w:pPr>
        <w:spacing w:line="360" w:lineRule="auto"/>
      </w:pPr>
      <w:r>
        <w:drawing>
          <wp:anchor distT="0" distB="0" distL="114300" distR="114300" simplePos="0" relativeHeight="251692032" behindDoc="0" locked="0" layoutInCell="1" allowOverlap="1">
            <wp:simplePos x="0" y="0"/>
            <wp:positionH relativeFrom="column">
              <wp:posOffset>941705</wp:posOffset>
            </wp:positionH>
            <wp:positionV relativeFrom="paragraph">
              <wp:posOffset>202565</wp:posOffset>
            </wp:positionV>
            <wp:extent cx="3812540" cy="3584575"/>
            <wp:effectExtent l="0" t="0" r="10160" b="9525"/>
            <wp:wrapTopAndBottom/>
            <wp:docPr id="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1"/>
                    <pic:cNvPicPr>
                      <a:picLocks noChangeAspect="1"/>
                    </pic:cNvPicPr>
                  </pic:nvPicPr>
                  <pic:blipFill>
                    <a:blip r:embed="rId35"/>
                    <a:stretch>
                      <a:fillRect/>
                    </a:stretch>
                  </pic:blipFill>
                  <pic:spPr>
                    <a:xfrm>
                      <a:off x="0" y="0"/>
                      <a:ext cx="3812540" cy="3584575"/>
                    </a:xfrm>
                    <a:prstGeom prst="rect">
                      <a:avLst/>
                    </a:prstGeom>
                    <a:noFill/>
                    <a:ln>
                      <a:noFill/>
                    </a:ln>
                  </pic:spPr>
                </pic:pic>
              </a:graphicData>
            </a:graphic>
          </wp:anchor>
        </w:drawing>
      </w:r>
    </w:p>
    <w:p w14:paraId="70FA40CB">
      <w:pPr>
        <w:spacing w:line="360" w:lineRule="auto"/>
        <w:jc w:val="center"/>
        <w:rPr>
          <w:rFonts w:hint="eastAsia" w:eastAsia="宋体"/>
          <w:sz w:val="24"/>
          <w:lang w:eastAsia="zh-CN"/>
        </w:rPr>
      </w:pPr>
      <w:r>
        <w:drawing>
          <wp:inline distT="0" distB="0" distL="114300" distR="114300">
            <wp:extent cx="3820160" cy="3272790"/>
            <wp:effectExtent l="0" t="0" r="2540" b="3810"/>
            <wp:docPr id="6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3"/>
                    <pic:cNvPicPr>
                      <a:picLocks noChangeAspect="1"/>
                    </pic:cNvPicPr>
                  </pic:nvPicPr>
                  <pic:blipFill>
                    <a:blip r:embed="rId36"/>
                    <a:srcRect b="47897"/>
                    <a:stretch>
                      <a:fillRect/>
                    </a:stretch>
                  </pic:blipFill>
                  <pic:spPr>
                    <a:xfrm>
                      <a:off x="0" y="0"/>
                      <a:ext cx="3820160" cy="3272790"/>
                    </a:xfrm>
                    <a:prstGeom prst="rect">
                      <a:avLst/>
                    </a:prstGeom>
                    <a:noFill/>
                    <a:ln>
                      <a:noFill/>
                    </a:ln>
                  </pic:spPr>
                </pic:pic>
              </a:graphicData>
            </a:graphic>
          </wp:inline>
        </w:drawing>
      </w:r>
    </w:p>
    <w:p w14:paraId="22AB0E72">
      <w:pPr>
        <w:spacing w:line="360" w:lineRule="auto"/>
        <w:rPr>
          <w:rFonts w:hint="eastAsia" w:eastAsia="宋体"/>
          <w:sz w:val="24"/>
          <w:lang w:eastAsia="zh-CN"/>
        </w:rPr>
      </w:pPr>
    </w:p>
    <w:p w14:paraId="76C21C43">
      <w:pPr>
        <w:spacing w:line="360" w:lineRule="auto"/>
        <w:rPr>
          <w:rFonts w:hint="eastAsia" w:eastAsia="宋体"/>
          <w:sz w:val="24"/>
          <w:lang w:eastAsia="zh-CN"/>
        </w:rPr>
      </w:pPr>
    </w:p>
    <w:p w14:paraId="0CE3B292">
      <w:pPr>
        <w:spacing w:line="360" w:lineRule="auto"/>
      </w:pPr>
    </w:p>
    <w:p w14:paraId="3CC9255C">
      <w:pPr>
        <w:spacing w:line="360" w:lineRule="auto"/>
        <w:jc w:val="center"/>
      </w:pPr>
      <w:r>
        <w:drawing>
          <wp:inline distT="0" distB="0" distL="114300" distR="114300">
            <wp:extent cx="3788410" cy="2952750"/>
            <wp:effectExtent l="0" t="0" r="8890" b="6350"/>
            <wp:docPr id="5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3"/>
                    <pic:cNvPicPr>
                      <a:picLocks noChangeAspect="1"/>
                    </pic:cNvPicPr>
                  </pic:nvPicPr>
                  <pic:blipFill>
                    <a:blip r:embed="rId36"/>
                    <a:srcRect t="52593"/>
                    <a:stretch>
                      <a:fillRect/>
                    </a:stretch>
                  </pic:blipFill>
                  <pic:spPr>
                    <a:xfrm>
                      <a:off x="0" y="0"/>
                      <a:ext cx="3788410" cy="2952750"/>
                    </a:xfrm>
                    <a:prstGeom prst="rect">
                      <a:avLst/>
                    </a:prstGeom>
                    <a:noFill/>
                    <a:ln>
                      <a:noFill/>
                    </a:ln>
                  </pic:spPr>
                </pic:pic>
              </a:graphicData>
            </a:graphic>
          </wp:inline>
        </w:drawing>
      </w:r>
    </w:p>
    <w:p w14:paraId="6A868887">
      <w:pPr>
        <w:spacing w:line="360" w:lineRule="auto"/>
        <w:jc w:val="center"/>
        <w:rPr>
          <w:rFonts w:hint="eastAsia"/>
        </w:rPr>
      </w:pPr>
    </w:p>
    <w:p w14:paraId="422F4748">
      <w:pPr>
        <w:spacing w:line="360" w:lineRule="auto"/>
        <w:ind w:firstLine="480" w:firstLineChars="200"/>
        <w:rPr>
          <w:rFonts w:hint="eastAsia"/>
          <w:sz w:val="24"/>
        </w:rPr>
      </w:pPr>
      <w:r>
        <w:rPr>
          <w:rFonts w:hint="eastAsia"/>
          <w:sz w:val="24"/>
        </w:rPr>
        <w:t>2.4   约氏乳杆菌对黄鳝肝脏脂质代谢的影响</w:t>
      </w:r>
    </w:p>
    <w:p w14:paraId="7915361C">
      <w:pPr>
        <w:spacing w:line="360" w:lineRule="auto"/>
        <w:ind w:firstLine="480" w:firstLineChars="200"/>
        <w:rPr>
          <w:rFonts w:hint="eastAsia"/>
          <w:sz w:val="24"/>
        </w:rPr>
      </w:pPr>
      <w:r>
        <w:rPr>
          <w:rFonts w:hint="eastAsia"/>
          <w:sz w:val="24"/>
        </w:rPr>
        <w:t>约氏乳杆菌对黄鳝肝脏脂质含量与代谢相关酶活性的影响黄鳝肝脏脂质含量与代谢相关酶活性结果见表6。与CL组相比,发酵组(JF)黄鳝肝脏的HL活性显著升高(</w:t>
      </w:r>
      <w:r>
        <w:rPr>
          <w:rFonts w:hint="default" w:ascii="Times New Roman Italic" w:hAnsi="Times New Roman Italic" w:cs="Times New Roman Italic"/>
          <w:i/>
          <w:iCs/>
          <w:sz w:val="24"/>
        </w:rPr>
        <w:t>P</w:t>
      </w:r>
      <w:r>
        <w:rPr>
          <w:rFonts w:hint="eastAsia"/>
          <w:sz w:val="24"/>
        </w:rPr>
        <w:t>&lt;0.05),而TG含量、LPL及TL活性无显著变化(</w:t>
      </w:r>
      <w:r>
        <w:rPr>
          <w:rFonts w:hint="default" w:ascii="Times New Roman Italic" w:hAnsi="Times New Roman Italic" w:cs="Times New Roman Italic"/>
          <w:i/>
          <w:iCs/>
          <w:sz w:val="24"/>
        </w:rPr>
        <w:t>P</w:t>
      </w:r>
      <w:r>
        <w:rPr>
          <w:rFonts w:hint="eastAsia"/>
          <w:sz w:val="24"/>
        </w:rPr>
        <w:t>&gt;0.05)。喷洒组(JS)则表现出不同的调节模式:与对照组相比,JS组显著降低了肝脏TG含量(</w:t>
      </w:r>
      <w:r>
        <w:rPr>
          <w:rFonts w:hint="default" w:ascii="Times New Roman Italic" w:hAnsi="Times New Roman Italic" w:cs="Times New Roman Italic"/>
          <w:i/>
          <w:iCs/>
          <w:sz w:val="24"/>
        </w:rPr>
        <w:t>P</w:t>
      </w:r>
      <w:r>
        <w:rPr>
          <w:rFonts w:hint="eastAsia"/>
          <w:sz w:val="24"/>
        </w:rPr>
        <w:t>&lt;0.05),同时显著提高了LPL与TL活性(</w:t>
      </w:r>
      <w:r>
        <w:rPr>
          <w:rFonts w:hint="default" w:ascii="Times New Roman Italic" w:hAnsi="Times New Roman Italic" w:cs="Times New Roman Italic"/>
          <w:i/>
          <w:iCs/>
          <w:sz w:val="24"/>
        </w:rPr>
        <w:t>P</w:t>
      </w:r>
      <w:r>
        <w:rPr>
          <w:rFonts w:hint="eastAsia"/>
          <w:sz w:val="24"/>
        </w:rPr>
        <w:t>&lt;0.05),但其HL活性与对照组无显著差异。此外,两组处理均显著降低了肝脏的T-CHO和LDL-C含量,并显著提高了有益胆固醇HDL-C含量(</w:t>
      </w:r>
      <w:r>
        <w:rPr>
          <w:rFonts w:hint="default" w:ascii="Times New Roman Italic" w:hAnsi="Times New Roman Italic" w:cs="Times New Roman Italic"/>
          <w:i/>
          <w:iCs/>
          <w:sz w:val="24"/>
        </w:rPr>
        <w:t>P</w:t>
      </w:r>
      <w:r>
        <w:rPr>
          <w:rFonts w:hint="eastAsia"/>
          <w:sz w:val="24"/>
        </w:rPr>
        <w:t>&lt;0.05)。</w:t>
      </w:r>
    </w:p>
    <w:p w14:paraId="7F128AAB">
      <w:pPr>
        <w:spacing w:line="360" w:lineRule="auto"/>
        <w:ind w:firstLine="480" w:firstLineChars="200"/>
        <w:rPr>
          <w:rFonts w:hint="eastAsia"/>
          <w:sz w:val="24"/>
        </w:rPr>
      </w:pPr>
      <w:r>
        <w:rPr>
          <w:rFonts w:hint="eastAsia"/>
          <w:sz w:val="24"/>
        </w:rPr>
        <w:t>约氏乳杆菌对黄鳝肝脏脂质代谢相关基因表达的影响黄鳝肝脏脂质代谢相关基因的表达水平如图1所示。约氏乳杆菌处理对黄鳝肝脏中多种脂质代谢相关基因的表达量具有显著调节作用。与对照组相比,喷洒组(JS)显著上调了脂肪甘油三酯脂肪酶(atgl1,atgl2和atgl3)和肉碱棕榈酰转移酶1(cpt1)等多个脂肪分解相关基因的表达(</w:t>
      </w:r>
      <w:r>
        <w:rPr>
          <w:rFonts w:hint="default" w:ascii="Times New Roman Italic" w:hAnsi="Times New Roman Italic" w:cs="Times New Roman Italic"/>
          <w:i/>
          <w:iCs/>
          <w:sz w:val="24"/>
        </w:rPr>
        <w:t>P</w:t>
      </w:r>
      <w:r>
        <w:rPr>
          <w:rFonts w:hint="eastAsia"/>
          <w:sz w:val="24"/>
        </w:rPr>
        <w:t>&lt;0.05),而发酵组(JF)中这些基因的表达量无显著变化;两种处理方式还显著上调了多个涉及脂肪分解与合成的基因,包括脂蛋白脂酶(lpl)、激素敏感脂肪酶(hsl)、脂肪酸合酶(fas)、二酰基甘油酰基转移酶1(dgat1)、乙酰辅酶A羧化酶1(acc1)及固醇调节元件结合蛋白1(srebp1;</w:t>
      </w:r>
      <w:r>
        <w:rPr>
          <w:rFonts w:hint="default" w:ascii="Times New Roman Italic" w:hAnsi="Times New Roman Italic" w:cs="Times New Roman Italic"/>
          <w:i/>
          <w:iCs/>
          <w:sz w:val="24"/>
        </w:rPr>
        <w:t>P</w:t>
      </w:r>
      <w:r>
        <w:rPr>
          <w:rFonts w:hint="eastAsia"/>
          <w:sz w:val="24"/>
        </w:rPr>
        <w:t>&lt;0.05)。值得注意的是,fas基因在JF组中的上调幅度显著高于JS组(P&lt;0.05)。此外,约氏乳杆菌处理显著下调了乙酰辅酶A羧化酶2(acc2)的表达(</w:t>
      </w:r>
      <w:r>
        <w:rPr>
          <w:rFonts w:hint="default" w:ascii="Times New Roman Italic" w:hAnsi="Times New Roman Italic" w:cs="Times New Roman Italic"/>
          <w:i/>
          <w:iCs/>
          <w:sz w:val="24"/>
        </w:rPr>
        <w:t>P</w:t>
      </w:r>
      <w:r>
        <w:rPr>
          <w:rFonts w:hint="eastAsia"/>
          <w:sz w:val="24"/>
        </w:rPr>
        <w:t>&lt;0.05);对于脂素1(lipin1)基因家族,JS组显著上调了lipin1a(</w:t>
      </w:r>
      <w:r>
        <w:rPr>
          <w:rFonts w:hint="default" w:ascii="Times New Roman Italic" w:hAnsi="Times New Roman Italic" w:cs="Times New Roman Italic"/>
          <w:i/>
          <w:iCs/>
          <w:sz w:val="24"/>
        </w:rPr>
        <w:t>P</w:t>
      </w:r>
      <w:r>
        <w:rPr>
          <w:rFonts w:hint="eastAsia"/>
          <w:sz w:val="24"/>
        </w:rPr>
        <w:t>&lt;0.05)和lipin1b(</w:t>
      </w:r>
      <w:r>
        <w:rPr>
          <w:rFonts w:hint="default" w:ascii="Times New Roman Italic" w:hAnsi="Times New Roman Italic" w:cs="Times New Roman Italic"/>
          <w:i/>
          <w:iCs/>
          <w:sz w:val="24"/>
        </w:rPr>
        <w:t>P</w:t>
      </w:r>
      <w:r>
        <w:rPr>
          <w:rFonts w:hint="eastAsia"/>
          <w:sz w:val="24"/>
        </w:rPr>
        <w:t>&lt;0.01)的表达,而JF组仅显著上调了lipin1b的表达量(</w:t>
      </w:r>
      <w:r>
        <w:rPr>
          <w:rFonts w:hint="default" w:ascii="Times New Roman Italic" w:hAnsi="Times New Roman Italic" w:cs="Times New Roman Italic"/>
          <w:i/>
          <w:iCs/>
          <w:sz w:val="24"/>
        </w:rPr>
        <w:t>P</w:t>
      </w:r>
      <w:r>
        <w:rPr>
          <w:rFonts w:hint="eastAsia"/>
          <w:sz w:val="24"/>
        </w:rPr>
        <w:t>&lt;0.05)。</w:t>
      </w:r>
    </w:p>
    <w:p w14:paraId="4640C522">
      <w:pPr>
        <w:spacing w:line="360" w:lineRule="auto"/>
        <w:ind w:firstLine="480" w:firstLineChars="200"/>
        <w:rPr>
          <w:rFonts w:hint="eastAsia"/>
          <w:sz w:val="24"/>
        </w:rPr>
      </w:pPr>
    </w:p>
    <w:p w14:paraId="6DADD318">
      <w:pPr>
        <w:spacing w:line="360" w:lineRule="auto"/>
        <w:ind w:firstLine="420" w:firstLineChars="200"/>
        <w:jc w:val="center"/>
        <w:rPr>
          <w:rFonts w:hint="eastAsia"/>
          <w:sz w:val="24"/>
        </w:rPr>
      </w:pPr>
      <w:r>
        <w:drawing>
          <wp:inline distT="0" distB="0" distL="114300" distR="114300">
            <wp:extent cx="3981450" cy="8266430"/>
            <wp:effectExtent l="0" t="0" r="6350" b="1270"/>
            <wp:docPr id="5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4"/>
                    <pic:cNvPicPr>
                      <a:picLocks noChangeAspect="1"/>
                    </pic:cNvPicPr>
                  </pic:nvPicPr>
                  <pic:blipFill>
                    <a:blip r:embed="rId37"/>
                    <a:stretch>
                      <a:fillRect/>
                    </a:stretch>
                  </pic:blipFill>
                  <pic:spPr>
                    <a:xfrm>
                      <a:off x="0" y="0"/>
                      <a:ext cx="3981450" cy="8266430"/>
                    </a:xfrm>
                    <a:prstGeom prst="rect">
                      <a:avLst/>
                    </a:prstGeom>
                    <a:noFill/>
                    <a:ln>
                      <a:noFill/>
                    </a:ln>
                  </pic:spPr>
                </pic:pic>
              </a:graphicData>
            </a:graphic>
          </wp:inline>
        </w:drawing>
      </w:r>
    </w:p>
    <w:p w14:paraId="51C441AF">
      <w:pPr>
        <w:spacing w:line="360" w:lineRule="auto"/>
        <w:rPr>
          <w:rFonts w:hint="eastAsia"/>
          <w:sz w:val="24"/>
        </w:rPr>
      </w:pPr>
      <w:r>
        <w:rPr>
          <w:rFonts w:hint="eastAsia"/>
          <w:sz w:val="24"/>
        </w:rPr>
        <w:t>3讨论</w:t>
      </w:r>
    </w:p>
    <w:p w14:paraId="0641ABE9">
      <w:pPr>
        <w:spacing w:line="360" w:lineRule="auto"/>
        <w:ind w:firstLine="480" w:firstLineChars="200"/>
        <w:rPr>
          <w:rFonts w:hint="eastAsia"/>
          <w:sz w:val="24"/>
        </w:rPr>
      </w:pPr>
      <w:r>
        <w:rPr>
          <w:rFonts w:hint="eastAsia"/>
          <w:sz w:val="24"/>
        </w:rPr>
        <w:t>3.1约氏乳杆菌对黄鳝生长性能和体成分的影响</w:t>
      </w:r>
    </w:p>
    <w:p w14:paraId="5A29BB48">
      <w:pPr>
        <w:spacing w:line="360" w:lineRule="auto"/>
        <w:ind w:firstLine="480" w:firstLineChars="200"/>
        <w:rPr>
          <w:rFonts w:hint="eastAsia"/>
          <w:sz w:val="24"/>
        </w:rPr>
      </w:pPr>
      <w:r>
        <w:rPr>
          <w:rFonts w:hint="eastAsia"/>
          <w:sz w:val="24"/>
        </w:rPr>
        <w:t>益生菌作为饲料添加剂在提高水产动物生长性能和饲料利用率等方面展现出巨大潜力</w:t>
      </w:r>
      <w:r>
        <w:rPr>
          <w:rFonts w:hint="eastAsia"/>
          <w:sz w:val="24"/>
          <w:vertAlign w:val="superscript"/>
        </w:rPr>
        <w:t>[12—14]</w:t>
      </w:r>
      <w:r>
        <w:rPr>
          <w:rFonts w:hint="eastAsia"/>
          <w:sz w:val="24"/>
        </w:rPr>
        <w:t>。本研究结果表明饲料经约氏乳杆菌CIP103620发酵或喷洒处理后,均显著提高了黄鳝的末重、增重率和特定生长率。这一促生长效应在其他鱼类中也有广泛报道,如饲料添加植物乳酸杆菌显著提高了巴沙鱼的特定生长率</w:t>
      </w:r>
      <w:r>
        <w:rPr>
          <w:rFonts w:hint="eastAsia"/>
          <w:sz w:val="24"/>
          <w:vertAlign w:val="superscript"/>
        </w:rPr>
        <w:t>[12]</w:t>
      </w:r>
      <w:r>
        <w:rPr>
          <w:rFonts w:hint="eastAsia"/>
          <w:sz w:val="24"/>
        </w:rPr>
        <w:t>;热灭活植物乳杆菌可显著提高罗非鱼的末重、增重率及特定生长率等生长性能</w:t>
      </w:r>
      <w:r>
        <w:rPr>
          <w:rFonts w:hint="eastAsia"/>
          <w:sz w:val="24"/>
          <w:vertAlign w:val="superscript"/>
        </w:rPr>
        <w:t>[13]</w:t>
      </w:r>
      <w:r>
        <w:rPr>
          <w:rFonts w:hint="eastAsia"/>
          <w:sz w:val="24"/>
        </w:rPr>
        <w:t>;鼠李糖乳杆菌可促进乌鳢生长[14],也可通过调节斑马鱼的肠道菌群来增进食欲和促进生长</w:t>
      </w:r>
      <w:r>
        <w:rPr>
          <w:rFonts w:hint="eastAsia"/>
          <w:sz w:val="24"/>
          <w:vertAlign w:val="superscript"/>
        </w:rPr>
        <w:t>[15]</w:t>
      </w:r>
      <w:r>
        <w:rPr>
          <w:rFonts w:hint="eastAsia"/>
          <w:sz w:val="24"/>
        </w:rPr>
        <w:t>;乳酸菌发酵芝麻粕可提高罗非鱼的末重、增重率及特定生长率等生长性能</w:t>
      </w:r>
      <w:r>
        <w:rPr>
          <w:rFonts w:hint="eastAsia"/>
          <w:sz w:val="24"/>
          <w:vertAlign w:val="superscript"/>
        </w:rPr>
        <w:t>[16]</w:t>
      </w:r>
      <w:r>
        <w:rPr>
          <w:rFonts w:hint="eastAsia"/>
          <w:sz w:val="24"/>
        </w:rPr>
        <w:t>。这表明,尽管菌种与宿主存在差异,但乳酸菌改善鱼类生长性能具有普遍性。值得注意的是,JF组(发酵饲料)的日均采食量显著高于其他两组,而喷洒组在采食量未显著增加的情况下仍表现出最强的促生长效果。这说明两种处理方式的促生长机制可能不同,发酵处理可能通过改变饲料的营养组成、产生风味物质或改善适口性,从而提高摄食量,这与斑马鱼研究中添加鼠李糖乳杆菌可增加摄食的报道相符</w:t>
      </w:r>
      <w:r>
        <w:rPr>
          <w:rFonts w:hint="eastAsia"/>
          <w:sz w:val="24"/>
          <w:vertAlign w:val="superscript"/>
        </w:rPr>
        <w:t>[15]</w:t>
      </w:r>
      <w:r>
        <w:rPr>
          <w:rFonts w:hint="eastAsia"/>
          <w:sz w:val="24"/>
        </w:rPr>
        <w:t>;活菌喷洒则可能通过直接作用于鱼体或肠道菌群,更高效地促进营养物质吸收利用与代谢,从而在相同摄食水平下实现更高的生长性能。</w:t>
      </w:r>
    </w:p>
    <w:p w14:paraId="63A02701">
      <w:pPr>
        <w:spacing w:line="360" w:lineRule="auto"/>
        <w:ind w:firstLine="480" w:firstLineChars="200"/>
        <w:rPr>
          <w:rFonts w:hint="eastAsia"/>
          <w:sz w:val="24"/>
        </w:rPr>
      </w:pPr>
      <w:r>
        <w:rPr>
          <w:rFonts w:hint="eastAsia"/>
          <w:sz w:val="24"/>
        </w:rPr>
        <w:t>除生长性能外,本研究还发现约氏乳杆菌可显著改变黄鳝的体成分。两种处理不仅显著提高了黄鳝全鱼及肌肉的粗脂肪含量,还显著降低了肝脏粗脂肪含量。这一结果与Hung等</w:t>
      </w:r>
      <w:r>
        <w:rPr>
          <w:rFonts w:hint="eastAsia"/>
          <w:sz w:val="24"/>
          <w:vertAlign w:val="superscript"/>
        </w:rPr>
        <w:t>[17]</w:t>
      </w:r>
      <w:r>
        <w:rPr>
          <w:rFonts w:hint="eastAsia"/>
          <w:sz w:val="24"/>
        </w:rPr>
        <w:t>在布氏鲳鲹中的研究发现一致,乳酸菌发酵豆粕可提高肌肉粗脂肪含量,并降低肝脏脂肪蓄积。在罗非鱼研究中也发现乳酸菌发酵芝麻粕可促进肝脏脂肪分解</w:t>
      </w:r>
      <w:r>
        <w:rPr>
          <w:rFonts w:hint="eastAsia"/>
          <w:sz w:val="24"/>
          <w:vertAlign w:val="superscript"/>
        </w:rPr>
        <w:t>[16]</w:t>
      </w:r>
      <w:r>
        <w:rPr>
          <w:rFonts w:hint="eastAsia"/>
          <w:sz w:val="24"/>
        </w:rPr>
        <w:t>。这提示约氏乳杆菌可能促进了膳食脂肪向肌肉组织的定向沉积,同时减轻了肝脏的代谢负担。值得注意的是,活菌喷洒处理在提高肌肉脂肪沉积方面优于发酵处理,推测其机制可能与喷洒的活菌更易在肠道定植有关。定植的活菌不仅能调节肠道微生物组成、增强吸收功能</w:t>
      </w:r>
      <w:r>
        <w:rPr>
          <w:rFonts w:hint="eastAsia"/>
          <w:sz w:val="24"/>
          <w:vertAlign w:val="superscript"/>
        </w:rPr>
        <w:t>[15]</w:t>
      </w:r>
      <w:r>
        <w:rPr>
          <w:rFonts w:hint="eastAsia"/>
          <w:sz w:val="24"/>
        </w:rPr>
        <w:t>,其代谢产物如(R)-亮氨酸还可能通过调控cd36等基因的表达,直接影响肠道脂肪酸的吸收与转运,从而促进肌肉脂质的沉积</w:t>
      </w:r>
      <w:r>
        <w:rPr>
          <w:rFonts w:hint="eastAsia"/>
          <w:sz w:val="24"/>
          <w:vertAlign w:val="superscript"/>
        </w:rPr>
        <w:t>[18]</w:t>
      </w:r>
      <w:r>
        <w:rPr>
          <w:rFonts w:hint="eastAsia"/>
          <w:sz w:val="24"/>
        </w:rPr>
        <w:t>。这与Xin等</w:t>
      </w:r>
      <w:r>
        <w:rPr>
          <w:rFonts w:hint="eastAsia"/>
          <w:sz w:val="24"/>
          <w:vertAlign w:val="superscript"/>
        </w:rPr>
        <w:t>[19]</w:t>
      </w:r>
      <w:r>
        <w:rPr>
          <w:rFonts w:hint="eastAsia"/>
          <w:sz w:val="24"/>
        </w:rPr>
        <w:t>关于约氏乳杆菌通过调节肠道菌群促进仔猪生长的研究结论相呼应。因此,约氏乳杆菌CIP103620可能通过提高肠道定植、改善消化吸收及调控营养物质分配,来调控黄鳝的生长性能与体成分。</w:t>
      </w:r>
    </w:p>
    <w:p w14:paraId="0C56160B">
      <w:pPr>
        <w:spacing w:line="360" w:lineRule="auto"/>
        <w:ind w:firstLine="480" w:firstLineChars="200"/>
        <w:rPr>
          <w:rFonts w:hint="eastAsia"/>
          <w:sz w:val="24"/>
        </w:rPr>
      </w:pPr>
      <w:r>
        <w:rPr>
          <w:rFonts w:hint="eastAsia"/>
          <w:sz w:val="24"/>
        </w:rPr>
        <w:t>3.2约氏乳杆菌对黄鳝血糖血脂的影响</w:t>
      </w:r>
    </w:p>
    <w:p w14:paraId="1347529A">
      <w:pPr>
        <w:spacing w:line="360" w:lineRule="auto"/>
        <w:ind w:firstLine="480" w:firstLineChars="200"/>
        <w:rPr>
          <w:rFonts w:hint="eastAsia"/>
          <w:sz w:val="24"/>
        </w:rPr>
      </w:pPr>
      <w:r>
        <w:rPr>
          <w:rFonts w:hint="eastAsia"/>
          <w:sz w:val="24"/>
        </w:rPr>
        <w:t>血糖血脂是评估机体脂质代谢稳态的核心指标。在胆固醇代谢中,LDL-C负责将肝脏内胆固醇转运至外周组织,而HDL-C则将胆固醇逆转运回肝脏分解并排出,这一过程对维持机体脂质代谢至关重要</w:t>
      </w:r>
      <w:r>
        <w:rPr>
          <w:rFonts w:hint="eastAsia"/>
          <w:sz w:val="24"/>
          <w:vertAlign w:val="superscript"/>
        </w:rPr>
        <w:t>[20]</w:t>
      </w:r>
      <w:r>
        <w:rPr>
          <w:rFonts w:hint="eastAsia"/>
          <w:sz w:val="24"/>
        </w:rPr>
        <w:t>。本研究发现约氏乳杆菌发酵或活菌喷洒处理饲料均显著降低了黄鳝血清TG、T-CHO、NEFA和LDL-C含量。这一系列变化表明约氏乳杆菌有效促进了黄鳝对脂肪的分解代谢,并可能通过加速胆固醇的逆向转运与清除,缓解了由高脂饲料可能引发的脂质代谢负担。该结论与多项哺乳动物模型的研究结果相互印证。例如,乳酸杆菌CQPC05能降低肥胖小鼠血清T-CHO、TG及LDL-C水平</w:t>
      </w:r>
      <w:r>
        <w:rPr>
          <w:rFonts w:hint="eastAsia"/>
          <w:sz w:val="24"/>
          <w:vertAlign w:val="superscript"/>
        </w:rPr>
        <w:t>[21]</w:t>
      </w:r>
      <w:r>
        <w:rPr>
          <w:rFonts w:hint="eastAsia"/>
          <w:sz w:val="24"/>
        </w:rPr>
        <w:t>;鼠李糖乳酸杆菌可通过调节小鼠的脂质分解与运输,来降低血清T-CHO和TG含量</w:t>
      </w:r>
      <w:r>
        <w:rPr>
          <w:rFonts w:hint="eastAsia"/>
          <w:sz w:val="24"/>
          <w:vertAlign w:val="superscript"/>
        </w:rPr>
        <w:t>[22]</w:t>
      </w:r>
      <w:r>
        <w:rPr>
          <w:rFonts w:hint="eastAsia"/>
          <w:sz w:val="24"/>
        </w:rPr>
        <w:t>;在斑马鱼中,鼠李糖乳酸杆菌同样表现出改善脂代谢紊乱、降低T-CHO和TG的作用</w:t>
      </w:r>
      <w:r>
        <w:rPr>
          <w:rFonts w:hint="eastAsia"/>
          <w:sz w:val="24"/>
          <w:vertAlign w:val="superscript"/>
        </w:rPr>
        <w:t>[15]</w:t>
      </w:r>
      <w:r>
        <w:rPr>
          <w:rFonts w:hint="eastAsia"/>
          <w:sz w:val="24"/>
        </w:rPr>
        <w:t>。此外,Teixeira等</w:t>
      </w:r>
      <w:r>
        <w:rPr>
          <w:rFonts w:hint="eastAsia"/>
          <w:sz w:val="24"/>
          <w:vertAlign w:val="superscript"/>
        </w:rPr>
        <w:t>[23]</w:t>
      </w:r>
      <w:r>
        <w:rPr>
          <w:rFonts w:hint="eastAsia"/>
          <w:sz w:val="24"/>
        </w:rPr>
        <w:t>的研究进一步指出约氏乳杆菌能显著影响血清长链脂肪酸的组成谱,这为其调节全身脂代谢提供了直接证据。因此,约氏乳杆菌对黄鳝血脂指标的改善作用,是其调节宿主全身脂代谢稳态功能的重要体现。</w:t>
      </w:r>
    </w:p>
    <w:p w14:paraId="01462160">
      <w:pPr>
        <w:spacing w:line="360" w:lineRule="auto"/>
        <w:ind w:firstLine="480" w:firstLineChars="200"/>
        <w:rPr>
          <w:rFonts w:hint="eastAsia"/>
          <w:sz w:val="24"/>
        </w:rPr>
      </w:pPr>
      <w:r>
        <w:rPr>
          <w:rFonts w:hint="eastAsia"/>
          <w:sz w:val="24"/>
        </w:rPr>
        <w:t>3.3约氏乳杆菌对黄鳝肝脏脂质代谢的影响</w:t>
      </w:r>
    </w:p>
    <w:p w14:paraId="1F761964">
      <w:pPr>
        <w:spacing w:line="360" w:lineRule="auto"/>
        <w:ind w:firstLine="480" w:firstLineChars="200"/>
        <w:rPr>
          <w:rFonts w:hint="eastAsia"/>
          <w:sz w:val="24"/>
        </w:rPr>
      </w:pPr>
      <w:r>
        <w:rPr>
          <w:rFonts w:hint="eastAsia"/>
          <w:sz w:val="24"/>
        </w:rPr>
        <w:t>肝脏是机体脂质分解代谢的核心器官</w:t>
      </w:r>
      <w:r>
        <w:rPr>
          <w:rFonts w:hint="eastAsia"/>
          <w:sz w:val="24"/>
          <w:vertAlign w:val="superscript"/>
        </w:rPr>
        <w:t>[24]</w:t>
      </w:r>
      <w:r>
        <w:rPr>
          <w:rFonts w:hint="eastAsia"/>
          <w:sz w:val="24"/>
        </w:rPr>
        <w:t>。本研究发现约氏乳杆菌发酵或喷洒饲料均能有效降低黄鳝肝脏中TG、T-CHO和LDL-C含量,而显著升高了HDL-C含量及HL、LPL和TL活性。HL和LPL是脂质降解的关键酶,LPL负责催化甘油三酯水解为单酰甘油和游离脂肪酸</w:t>
      </w:r>
      <w:r>
        <w:rPr>
          <w:rFonts w:hint="eastAsia"/>
          <w:sz w:val="24"/>
          <w:vertAlign w:val="superscript"/>
        </w:rPr>
        <w:t>[25]</w:t>
      </w:r>
      <w:r>
        <w:rPr>
          <w:rFonts w:hint="eastAsia"/>
          <w:sz w:val="24"/>
        </w:rPr>
        <w:t>,其活性直接影响肝脏脂肪含量与循环脂质水平</w:t>
      </w:r>
      <w:r>
        <w:rPr>
          <w:rFonts w:hint="eastAsia"/>
          <w:sz w:val="24"/>
          <w:vertAlign w:val="superscript"/>
        </w:rPr>
        <w:t>[26]</w:t>
      </w:r>
      <w:r>
        <w:rPr>
          <w:rFonts w:hint="eastAsia"/>
          <w:sz w:val="24"/>
        </w:rPr>
        <w:t>。上述酶活性的增强与肝脏脂质含量的降低,表明约氏乳杆菌有效提升了黄鳝肝脏的脂解能力,这与哺乳动物中观察到的乳酸杆菌减少肝脏脂质蓄积的结果一致</w:t>
      </w:r>
      <w:r>
        <w:rPr>
          <w:rFonts w:hint="eastAsia"/>
          <w:sz w:val="24"/>
          <w:vertAlign w:val="superscript"/>
        </w:rPr>
        <w:t>[27,28]</w:t>
      </w:r>
      <w:r>
        <w:rPr>
          <w:rFonts w:hint="eastAsia"/>
          <w:sz w:val="24"/>
        </w:rPr>
        <w:t>。</w:t>
      </w:r>
    </w:p>
    <w:p w14:paraId="67F35A67">
      <w:pPr>
        <w:spacing w:line="360" w:lineRule="auto"/>
        <w:ind w:firstLine="480" w:firstLineChars="200"/>
        <w:rPr>
          <w:rFonts w:hint="eastAsia"/>
          <w:sz w:val="24"/>
        </w:rPr>
      </w:pPr>
      <w:r>
        <w:rPr>
          <w:rFonts w:hint="eastAsia"/>
          <w:sz w:val="24"/>
        </w:rPr>
        <w:t>约氏乳杆菌对脂质代谢调控机制可能涉及对关键信号通路的激活。例如,Ding等</w:t>
      </w:r>
      <w:r>
        <w:rPr>
          <w:rFonts w:hint="eastAsia"/>
          <w:sz w:val="24"/>
          <w:vertAlign w:val="superscript"/>
        </w:rPr>
        <w:t>[29]</w:t>
      </w:r>
      <w:r>
        <w:rPr>
          <w:rFonts w:hint="eastAsia"/>
          <w:sz w:val="24"/>
        </w:rPr>
        <w:t>发现约氏乳杆菌可能通过激活AMPKα/PPARα/CPT-1信号通路促进脂肪酸氧化,从而降低血清脂质水平。因此,我们推测本研究中观察到的肝脏脂质代谢改善可能与约氏乳杆菌激活相关通路有关。从基因表达层面进一步揭示了其调控网络。约氏乳杆菌处理上调了黄鳝肝脏中acc1、hsl、lpl、atgl2和dgat1等多个关键脂质代谢相关基因,同时抑制了acc2表达。acc1与acc2虽然均催化产生丙二酰辅酶A,但功能迥异:acc1产物主要用于脂肪酸从头合成;而acc2产物则作为信号分子抑制脂肪酸进入线粒体氧化</w:t>
      </w:r>
      <w:r>
        <w:rPr>
          <w:rFonts w:hint="eastAsia"/>
          <w:sz w:val="24"/>
          <w:vertAlign w:val="superscript"/>
        </w:rPr>
        <w:t>[30]</w:t>
      </w:r>
      <w:r>
        <w:rPr>
          <w:rFonts w:hint="eastAsia"/>
          <w:sz w:val="24"/>
        </w:rPr>
        <w:t>。因此,acc1上调和acc2下调的协同作用,可能在维持基础合成需求的同时,为脂肪酸氧化分解创造了有利条件。此外,脂肪酸合酶(FAS)作为脂肪酸合成的关键执行者,其表达受转录因子固醇调节元件结合蛋白1c(SREBP-1c)的调控</w:t>
      </w:r>
      <w:r>
        <w:rPr>
          <w:rFonts w:hint="eastAsia"/>
          <w:sz w:val="24"/>
          <w:vertAlign w:val="superscript"/>
        </w:rPr>
        <w:t>[31,32]</w:t>
      </w:r>
      <w:r>
        <w:rPr>
          <w:rFonts w:hint="eastAsia"/>
          <w:sz w:val="24"/>
        </w:rPr>
        <w:t>。值得注意的是,本研究中黄鳝肝脏fas与srebp1的表达上调,而肉碱棕榈酰转移酶1(cpt1)-脂肪酸β-氧化的限速酶</w:t>
      </w:r>
      <w:r>
        <w:rPr>
          <w:rFonts w:hint="eastAsia"/>
          <w:sz w:val="24"/>
          <w:vertAlign w:val="superscript"/>
        </w:rPr>
        <w:t>[33]</w:t>
      </w:r>
      <w:r>
        <w:rPr>
          <w:rFonts w:hint="eastAsia"/>
          <w:sz w:val="24"/>
        </w:rPr>
        <w:t>及多个脂解基因(lpl、hsl和atgl)也同步上调。这一看似矛盾的基因表达谱,即脂肪合成与分解途径的关键基因同时被激活,提示约氏乳杆菌的作用并非简单的单向抑制或促进,而是对肝脏脂代谢进行了一次系统性重编程。此现象与多项前人研究相吻合,例如乳酸菌可通过AMPK/ACC/CPT-1信号轴</w:t>
      </w:r>
      <w:r>
        <w:rPr>
          <w:rFonts w:hint="eastAsia"/>
          <w:sz w:val="24"/>
          <w:vertAlign w:val="superscript"/>
        </w:rPr>
        <w:t>[34]</w:t>
      </w:r>
      <w:r>
        <w:rPr>
          <w:rFonts w:hint="eastAsia"/>
          <w:sz w:val="24"/>
        </w:rPr>
        <w:t>、PPAR信号通路</w:t>
      </w:r>
      <w:r>
        <w:rPr>
          <w:rFonts w:hint="eastAsia"/>
          <w:sz w:val="24"/>
          <w:vertAlign w:val="superscript"/>
        </w:rPr>
        <w:t>[35]</w:t>
      </w:r>
      <w:r>
        <w:rPr>
          <w:rFonts w:hint="eastAsia"/>
          <w:sz w:val="24"/>
        </w:rPr>
        <w:t>或同时下调srebp1、acc与上调pparα和cpt1a</w:t>
      </w:r>
      <w:r>
        <w:rPr>
          <w:rFonts w:hint="eastAsia"/>
          <w:sz w:val="24"/>
          <w:vertAlign w:val="superscript"/>
        </w:rPr>
        <w:t>[36]</w:t>
      </w:r>
      <w:r>
        <w:rPr>
          <w:rFonts w:hint="eastAsia"/>
          <w:sz w:val="24"/>
        </w:rPr>
        <w:t>来综合调控脂代谢。脂肪甘油三酯脂肪酶(ATGL)作为启动TG水解的第一步关键酶</w:t>
      </w:r>
      <w:r>
        <w:rPr>
          <w:rFonts w:hint="eastAsia"/>
          <w:sz w:val="24"/>
          <w:vertAlign w:val="superscript"/>
        </w:rPr>
        <w:t>[37]</w:t>
      </w:r>
      <w:r>
        <w:rPr>
          <w:rFonts w:hint="eastAsia"/>
          <w:sz w:val="24"/>
        </w:rPr>
        <w:t>,其过表达可促进游离脂肪酸的释放与氧化,改善肝脏脂质代谢</w:t>
      </w:r>
      <w:r>
        <w:rPr>
          <w:rFonts w:hint="eastAsia"/>
          <w:sz w:val="24"/>
          <w:vertAlign w:val="superscript"/>
        </w:rPr>
        <w:t>[38]</w:t>
      </w:r>
      <w:r>
        <w:rPr>
          <w:rFonts w:hint="eastAsia"/>
          <w:sz w:val="24"/>
        </w:rPr>
        <w:t>。本研究发现atgl等基因表达上调,进一步强化了约氏乳杆菌的脂解能力。同时,调控脂肪组织形成与分化的关键基因——脂素1(lipin1)的不同剪接变体(lipin1a,lipin1b)</w:t>
      </w:r>
      <w:r>
        <w:rPr>
          <w:rFonts w:hint="eastAsia"/>
          <w:sz w:val="24"/>
          <w:vertAlign w:val="superscript"/>
        </w:rPr>
        <w:t>[39]</w:t>
      </w:r>
      <w:r>
        <w:rPr>
          <w:rFonts w:hint="eastAsia"/>
          <w:sz w:val="24"/>
        </w:rPr>
        <w:t>也表现出差异性的调节,其复杂的双相功能可能与精细平衡磷脂合成与脂质储存有关</w:t>
      </w:r>
      <w:r>
        <w:rPr>
          <w:rFonts w:hint="eastAsia"/>
          <w:sz w:val="24"/>
          <w:vertAlign w:val="superscript"/>
        </w:rPr>
        <w:t>[40]</w:t>
      </w:r>
      <w:r>
        <w:rPr>
          <w:rFonts w:hint="eastAsia"/>
          <w:sz w:val="24"/>
        </w:rPr>
        <w:t>。综上所述,我们提出一个整合性的解释模型:约氏乳杆菌的介入,可能通过激活以AMPK/PPARα/CPT-1为核心的分解代谢信号轴,强力驱动脂肪酸进入β-氧化途径。与此同时,适度上调的合成相关基因为细胞膜更新、脂蛋白合成等基本生理过程提供了底物保障。在这种重编程的代谢网络中,脂质流向分解途径的通量与速率可能显著超过了合成与储存的份额,最终导致肝脏脂质含量下降、血清脂质谱改善的净效应,从而有效缓解了肝脏脂质异常蓄积的风险。</w:t>
      </w:r>
    </w:p>
    <w:p w14:paraId="0BED8DFD">
      <w:pPr>
        <w:spacing w:line="360" w:lineRule="auto"/>
        <w:ind w:firstLine="480" w:firstLineChars="200"/>
        <w:rPr>
          <w:rFonts w:hint="eastAsia"/>
          <w:sz w:val="24"/>
        </w:rPr>
      </w:pPr>
      <w:r>
        <w:rPr>
          <w:rFonts w:hint="eastAsia"/>
          <w:sz w:val="24"/>
        </w:rPr>
        <w:t>4结论</w:t>
      </w:r>
    </w:p>
    <w:p w14:paraId="6DD6231F">
      <w:pPr>
        <w:spacing w:line="360" w:lineRule="auto"/>
        <w:ind w:firstLine="480" w:firstLineChars="200"/>
        <w:rPr>
          <w:rFonts w:hint="eastAsia"/>
          <w:sz w:val="24"/>
        </w:rPr>
      </w:pPr>
      <w:r>
        <w:rPr>
          <w:rFonts w:hint="eastAsia"/>
          <w:sz w:val="24"/>
        </w:rPr>
        <w:t>约氏乳杆菌CIP103620发酵和喷洒饲料均可有效促进黄鳝生长,并改善其脂质代谢。其作用机制涉及增强肝脏脂解酶活性、调控脂肪合成与分解基因表达,从而降低血清和肝脏的脂质蓄积,维持脂代谢稳态。综合生长性能与脂代谢各项指标,活菌喷洒的处理方式效果更为显著,是黄鳝养殖中更具应用潜力的益生菌添加策略。</w:t>
      </w:r>
    </w:p>
    <w:p w14:paraId="2282EC43">
      <w:pPr>
        <w:spacing w:line="360" w:lineRule="auto"/>
        <w:ind w:firstLine="480" w:firstLineChars="200"/>
        <w:rPr>
          <w:rFonts w:hint="eastAsia"/>
          <w:sz w:val="24"/>
        </w:rPr>
      </w:pPr>
      <w:r>
        <w:rPr>
          <w:rFonts w:hint="eastAsia"/>
          <w:sz w:val="24"/>
        </w:rPr>
        <w:t>(作者声明本文符合出版伦理要求)</w:t>
      </w:r>
    </w:p>
    <w:p w14:paraId="20BF4518">
      <w:pPr>
        <w:spacing w:line="360" w:lineRule="auto"/>
        <w:rPr>
          <w:sz w:val="24"/>
          <w:szCs w:val="21"/>
        </w:rPr>
      </w:pPr>
      <w:r>
        <w:rPr>
          <w:rFonts w:hint="eastAsia"/>
          <w:sz w:val="24"/>
          <w:szCs w:val="21"/>
        </w:rPr>
        <w:t>参考文献：略</w:t>
      </w:r>
    </w:p>
    <w:p w14:paraId="65857B03">
      <w:pPr>
        <w:spacing w:line="360" w:lineRule="auto"/>
        <w:ind w:firstLine="420" w:firstLineChars="200"/>
        <w:jc w:val="right"/>
        <w:rPr>
          <w:rStyle w:val="96"/>
          <w:rFonts w:eastAsiaTheme="minorEastAsia"/>
          <w:szCs w:val="21"/>
        </w:rPr>
      </w:pPr>
      <w:r>
        <w:rPr>
          <w:szCs w:val="21"/>
        </w:rPr>
        <w:t>原文刊登在《</w:t>
      </w:r>
      <w:r>
        <w:rPr>
          <w:rFonts w:hint="eastAsia"/>
          <w:szCs w:val="21"/>
          <w:lang w:val="en-US" w:eastAsia="zh-CN"/>
        </w:rPr>
        <w:t>水生生物学报</w:t>
      </w:r>
      <w:r>
        <w:rPr>
          <w:szCs w:val="21"/>
        </w:rPr>
        <w:t>》2026年第</w:t>
      </w:r>
      <w:r>
        <w:rPr>
          <w:rFonts w:hint="eastAsia"/>
          <w:szCs w:val="21"/>
          <w:lang w:val="en-US" w:eastAsia="zh-CN"/>
        </w:rPr>
        <w:t>6</w:t>
      </w:r>
      <w:r>
        <w:rPr>
          <w:szCs w:val="21"/>
        </w:rPr>
        <w:t>期</w:t>
      </w:r>
    </w:p>
    <w:p w14:paraId="3407349F">
      <w:pPr>
        <w:spacing w:line="360" w:lineRule="auto"/>
        <w:ind w:right="840"/>
        <w:rPr>
          <w:rStyle w:val="96"/>
          <w:rFonts w:eastAsiaTheme="minorEastAsia"/>
          <w:szCs w:val="21"/>
        </w:rPr>
      </w:pPr>
    </w:p>
    <w:sectPr>
      <w:footerReference r:id="rId3" w:type="default"/>
      <w:pgSz w:w="11906" w:h="16838"/>
      <w:pgMar w:top="1440" w:right="1247" w:bottom="1440" w:left="1247" w:header="851" w:footer="992" w:gutter="0"/>
      <w:pgNumType w:start="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TimesNewRomanPSMT">
    <w:altName w:val="Times New Roman"/>
    <w:panose1 w:val="00000000000000000000"/>
    <w:charset w:val="00"/>
    <w:family w:val="roman"/>
    <w:pitch w:val="default"/>
    <w:sig w:usb0="00000000" w:usb1="00000000" w:usb2="00000010" w:usb3="00000000" w:csb0="00040000" w:csb1="00000000"/>
  </w:font>
  <w:font w:name="TimesNewRomanPS-ItalicMT">
    <w:altName w:val="Times New Roman"/>
    <w:panose1 w:val="00000000000000000000"/>
    <w:charset w:val="00"/>
    <w:family w:val="auto"/>
    <w:pitch w:val="default"/>
    <w:sig w:usb0="00000000" w:usb1="00000000" w:usb2="00000000" w:usb3="00000000" w:csb0="00000000" w:csb1="00000000"/>
  </w:font>
  <w:font w:name="Times New Roman Bold Italic">
    <w:panose1 w:val="02020503050405090304"/>
    <w:charset w:val="00"/>
    <w:family w:val="auto"/>
    <w:pitch w:val="default"/>
    <w:sig w:usb0="00000000" w:usb1="00000000" w:usb2="00000001" w:usb3="00000000" w:csb0="400001BF" w:csb1="DFF70000"/>
  </w:font>
  <w:font w:name="Times New Roman Italic">
    <w:panose1 w:val="02020503050405090304"/>
    <w:charset w:val="00"/>
    <w:family w:val="auto"/>
    <w:pitch w:val="default"/>
    <w:sig w:usb0="00000000" w:usb1="00000000" w:usb2="00000001" w:usb3="00000000" w:csb0="400001BF" w:csb1="DFF70000"/>
  </w:font>
  <w:font w:name="Times New Roman Regular">
    <w:altName w:val="Times New Roman"/>
    <w:panose1 w:val="02020503050405090304"/>
    <w:charset w:val="00"/>
    <w:family w:val="auto"/>
    <w:pitch w:val="default"/>
    <w:sig w:usb0="00000000" w:usb1="00000000" w:usb2="00000001" w:usb3="00000000" w:csb0="400001BF" w:csb1="DFF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2226461"/>
      <w:docPartObj>
        <w:docPartGallery w:val="autotext"/>
      </w:docPartObj>
    </w:sdtPr>
    <w:sdtContent>
      <w:p w14:paraId="16AD406C">
        <w:pPr>
          <w:pStyle w:val="12"/>
          <w:jc w:val="center"/>
        </w:pPr>
        <w:r>
          <w:fldChar w:fldCharType="begin"/>
        </w:r>
        <w:r>
          <w:instrText xml:space="preserve">PAGE   \* MERGEFORMAT</w:instrText>
        </w:r>
        <w:r>
          <w:fldChar w:fldCharType="separate"/>
        </w:r>
        <w:r>
          <w:rPr>
            <w:lang w:val="zh-CN"/>
          </w:rPr>
          <w:t>2</w:t>
        </w:r>
        <w:r>
          <w:fldChar w:fldCharType="end"/>
        </w:r>
      </w:p>
    </w:sdtContent>
  </w:sdt>
  <w:p w14:paraId="0F8D21D0">
    <w:pPr>
      <w:pStyle w:val="12"/>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6FA69E5"/>
    <w:multiLevelType w:val="singleLevel"/>
    <w:tmpl w:val="06FA69E5"/>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9"/>
  <w:mirrorMargins w:val="1"/>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llYTA0YmQzOTg4OTBhYTU4MzMyZGMwOWM5ZGU2MDcifQ=="/>
  </w:docVars>
  <w:rsids>
    <w:rsidRoot w:val="00172A27"/>
    <w:rsid w:val="00002115"/>
    <w:rsid w:val="00002BFE"/>
    <w:rsid w:val="00002E4A"/>
    <w:rsid w:val="0000389A"/>
    <w:rsid w:val="00006E4D"/>
    <w:rsid w:val="000078F8"/>
    <w:rsid w:val="00011809"/>
    <w:rsid w:val="000140DD"/>
    <w:rsid w:val="000162CE"/>
    <w:rsid w:val="00016E06"/>
    <w:rsid w:val="0001799F"/>
    <w:rsid w:val="00022032"/>
    <w:rsid w:val="0002235E"/>
    <w:rsid w:val="00023879"/>
    <w:rsid w:val="00024430"/>
    <w:rsid w:val="00024780"/>
    <w:rsid w:val="00024F8D"/>
    <w:rsid w:val="00026CC6"/>
    <w:rsid w:val="00032EB0"/>
    <w:rsid w:val="00035281"/>
    <w:rsid w:val="00036EAA"/>
    <w:rsid w:val="00037F8A"/>
    <w:rsid w:val="00041E32"/>
    <w:rsid w:val="0004228A"/>
    <w:rsid w:val="00042A93"/>
    <w:rsid w:val="00043457"/>
    <w:rsid w:val="00045296"/>
    <w:rsid w:val="00046763"/>
    <w:rsid w:val="000507D7"/>
    <w:rsid w:val="00051224"/>
    <w:rsid w:val="000546FE"/>
    <w:rsid w:val="00054B42"/>
    <w:rsid w:val="00056AC4"/>
    <w:rsid w:val="00057A43"/>
    <w:rsid w:val="000601F4"/>
    <w:rsid w:val="00060368"/>
    <w:rsid w:val="00060549"/>
    <w:rsid w:val="000639F4"/>
    <w:rsid w:val="00067060"/>
    <w:rsid w:val="000674B3"/>
    <w:rsid w:val="00067CC5"/>
    <w:rsid w:val="00072F23"/>
    <w:rsid w:val="00074B36"/>
    <w:rsid w:val="00075A80"/>
    <w:rsid w:val="00075D73"/>
    <w:rsid w:val="00075DD3"/>
    <w:rsid w:val="000778A5"/>
    <w:rsid w:val="00080EC7"/>
    <w:rsid w:val="0008258D"/>
    <w:rsid w:val="00082714"/>
    <w:rsid w:val="0008527C"/>
    <w:rsid w:val="00086944"/>
    <w:rsid w:val="00086B20"/>
    <w:rsid w:val="00086BED"/>
    <w:rsid w:val="00087A85"/>
    <w:rsid w:val="00087D57"/>
    <w:rsid w:val="00091B87"/>
    <w:rsid w:val="00092844"/>
    <w:rsid w:val="000932DF"/>
    <w:rsid w:val="00095841"/>
    <w:rsid w:val="00096E7B"/>
    <w:rsid w:val="00097448"/>
    <w:rsid w:val="000A1544"/>
    <w:rsid w:val="000A2CB9"/>
    <w:rsid w:val="000A383F"/>
    <w:rsid w:val="000A3E04"/>
    <w:rsid w:val="000A45CC"/>
    <w:rsid w:val="000A5B38"/>
    <w:rsid w:val="000A615C"/>
    <w:rsid w:val="000A75D7"/>
    <w:rsid w:val="000B362C"/>
    <w:rsid w:val="000B3A02"/>
    <w:rsid w:val="000B3B35"/>
    <w:rsid w:val="000B3DB4"/>
    <w:rsid w:val="000B4EA4"/>
    <w:rsid w:val="000B4F43"/>
    <w:rsid w:val="000B5E61"/>
    <w:rsid w:val="000B6C41"/>
    <w:rsid w:val="000B7C99"/>
    <w:rsid w:val="000C000C"/>
    <w:rsid w:val="000C1E70"/>
    <w:rsid w:val="000C1F1B"/>
    <w:rsid w:val="000C2535"/>
    <w:rsid w:val="000C38D1"/>
    <w:rsid w:val="000C4200"/>
    <w:rsid w:val="000C4DD7"/>
    <w:rsid w:val="000C5A7E"/>
    <w:rsid w:val="000C5F62"/>
    <w:rsid w:val="000C6194"/>
    <w:rsid w:val="000C6B67"/>
    <w:rsid w:val="000C7025"/>
    <w:rsid w:val="000C7E7A"/>
    <w:rsid w:val="000D0748"/>
    <w:rsid w:val="000D0869"/>
    <w:rsid w:val="000D0B84"/>
    <w:rsid w:val="000D10F7"/>
    <w:rsid w:val="000D17DD"/>
    <w:rsid w:val="000D1B49"/>
    <w:rsid w:val="000D64CA"/>
    <w:rsid w:val="000D688D"/>
    <w:rsid w:val="000D6ACA"/>
    <w:rsid w:val="000D7731"/>
    <w:rsid w:val="000D7991"/>
    <w:rsid w:val="000E1DEF"/>
    <w:rsid w:val="000E2BBA"/>
    <w:rsid w:val="000E4383"/>
    <w:rsid w:val="000E6948"/>
    <w:rsid w:val="000E6DAE"/>
    <w:rsid w:val="000F0055"/>
    <w:rsid w:val="000F0FCE"/>
    <w:rsid w:val="000F2DCC"/>
    <w:rsid w:val="000F30A4"/>
    <w:rsid w:val="000F3844"/>
    <w:rsid w:val="000F425B"/>
    <w:rsid w:val="000F6254"/>
    <w:rsid w:val="000F6417"/>
    <w:rsid w:val="000F642F"/>
    <w:rsid w:val="000F6E36"/>
    <w:rsid w:val="001000FA"/>
    <w:rsid w:val="001028F0"/>
    <w:rsid w:val="00102DB7"/>
    <w:rsid w:val="0010350D"/>
    <w:rsid w:val="00104062"/>
    <w:rsid w:val="00104F42"/>
    <w:rsid w:val="00105674"/>
    <w:rsid w:val="00105C63"/>
    <w:rsid w:val="00107626"/>
    <w:rsid w:val="00107696"/>
    <w:rsid w:val="00107B43"/>
    <w:rsid w:val="00107F13"/>
    <w:rsid w:val="00107F29"/>
    <w:rsid w:val="001109D0"/>
    <w:rsid w:val="00112132"/>
    <w:rsid w:val="00113EBF"/>
    <w:rsid w:val="001142B8"/>
    <w:rsid w:val="00114ABC"/>
    <w:rsid w:val="00114AF2"/>
    <w:rsid w:val="00114AF4"/>
    <w:rsid w:val="00115440"/>
    <w:rsid w:val="001164E0"/>
    <w:rsid w:val="001172CF"/>
    <w:rsid w:val="001178F0"/>
    <w:rsid w:val="00121953"/>
    <w:rsid w:val="001226B3"/>
    <w:rsid w:val="0012398F"/>
    <w:rsid w:val="0012437E"/>
    <w:rsid w:val="001255FE"/>
    <w:rsid w:val="00125783"/>
    <w:rsid w:val="001264F7"/>
    <w:rsid w:val="00130158"/>
    <w:rsid w:val="00130955"/>
    <w:rsid w:val="001323EA"/>
    <w:rsid w:val="0013329F"/>
    <w:rsid w:val="0013359F"/>
    <w:rsid w:val="00133D64"/>
    <w:rsid w:val="001410FA"/>
    <w:rsid w:val="00141929"/>
    <w:rsid w:val="0014286D"/>
    <w:rsid w:val="00142DB1"/>
    <w:rsid w:val="00143A57"/>
    <w:rsid w:val="00144A33"/>
    <w:rsid w:val="00144A8E"/>
    <w:rsid w:val="00144F0E"/>
    <w:rsid w:val="00147484"/>
    <w:rsid w:val="00147815"/>
    <w:rsid w:val="00147A4B"/>
    <w:rsid w:val="00147D9B"/>
    <w:rsid w:val="00147FE6"/>
    <w:rsid w:val="0015008E"/>
    <w:rsid w:val="00151281"/>
    <w:rsid w:val="00151291"/>
    <w:rsid w:val="00151762"/>
    <w:rsid w:val="00151DBA"/>
    <w:rsid w:val="00151DDB"/>
    <w:rsid w:val="001525A7"/>
    <w:rsid w:val="0015316B"/>
    <w:rsid w:val="00155FA9"/>
    <w:rsid w:val="00156460"/>
    <w:rsid w:val="001571FA"/>
    <w:rsid w:val="00160661"/>
    <w:rsid w:val="001608F4"/>
    <w:rsid w:val="00161685"/>
    <w:rsid w:val="0016314A"/>
    <w:rsid w:val="00164ECD"/>
    <w:rsid w:val="00165B8B"/>
    <w:rsid w:val="00171CD2"/>
    <w:rsid w:val="00171ED9"/>
    <w:rsid w:val="00172A27"/>
    <w:rsid w:val="00172E0D"/>
    <w:rsid w:val="00176536"/>
    <w:rsid w:val="001765D4"/>
    <w:rsid w:val="00177FBF"/>
    <w:rsid w:val="00181DD6"/>
    <w:rsid w:val="00183729"/>
    <w:rsid w:val="00185F05"/>
    <w:rsid w:val="00186AEA"/>
    <w:rsid w:val="00187D22"/>
    <w:rsid w:val="001901B0"/>
    <w:rsid w:val="00190838"/>
    <w:rsid w:val="001918A0"/>
    <w:rsid w:val="0019190F"/>
    <w:rsid w:val="001920E0"/>
    <w:rsid w:val="0019272A"/>
    <w:rsid w:val="00193590"/>
    <w:rsid w:val="00193B81"/>
    <w:rsid w:val="001947D3"/>
    <w:rsid w:val="00195B86"/>
    <w:rsid w:val="00195CAE"/>
    <w:rsid w:val="001969D8"/>
    <w:rsid w:val="001974DA"/>
    <w:rsid w:val="001A14D9"/>
    <w:rsid w:val="001A1E4D"/>
    <w:rsid w:val="001A559B"/>
    <w:rsid w:val="001A5FAD"/>
    <w:rsid w:val="001B036A"/>
    <w:rsid w:val="001B1379"/>
    <w:rsid w:val="001B1408"/>
    <w:rsid w:val="001B2750"/>
    <w:rsid w:val="001B34BE"/>
    <w:rsid w:val="001B70C5"/>
    <w:rsid w:val="001C07B8"/>
    <w:rsid w:val="001C136B"/>
    <w:rsid w:val="001C1FB2"/>
    <w:rsid w:val="001C3405"/>
    <w:rsid w:val="001C3A5B"/>
    <w:rsid w:val="001C3F5B"/>
    <w:rsid w:val="001C427A"/>
    <w:rsid w:val="001C4E29"/>
    <w:rsid w:val="001C5FD7"/>
    <w:rsid w:val="001C7EC0"/>
    <w:rsid w:val="001D0EA1"/>
    <w:rsid w:val="001D27FF"/>
    <w:rsid w:val="001D53B7"/>
    <w:rsid w:val="001D61B6"/>
    <w:rsid w:val="001E01CB"/>
    <w:rsid w:val="001E3265"/>
    <w:rsid w:val="001E60D4"/>
    <w:rsid w:val="001E6BB5"/>
    <w:rsid w:val="001E7BCF"/>
    <w:rsid w:val="001F1948"/>
    <w:rsid w:val="001F1E7F"/>
    <w:rsid w:val="001F60FD"/>
    <w:rsid w:val="001F610B"/>
    <w:rsid w:val="001F61F5"/>
    <w:rsid w:val="001F65FA"/>
    <w:rsid w:val="001F7857"/>
    <w:rsid w:val="001F7F30"/>
    <w:rsid w:val="00200A87"/>
    <w:rsid w:val="00202D44"/>
    <w:rsid w:val="00202E7A"/>
    <w:rsid w:val="00205034"/>
    <w:rsid w:val="00205060"/>
    <w:rsid w:val="00206202"/>
    <w:rsid w:val="002079E0"/>
    <w:rsid w:val="002101F2"/>
    <w:rsid w:val="00210424"/>
    <w:rsid w:val="00210903"/>
    <w:rsid w:val="00210C08"/>
    <w:rsid w:val="00211E4F"/>
    <w:rsid w:val="0021214D"/>
    <w:rsid w:val="002134B2"/>
    <w:rsid w:val="00213B07"/>
    <w:rsid w:val="002154D2"/>
    <w:rsid w:val="00215661"/>
    <w:rsid w:val="002156F9"/>
    <w:rsid w:val="00215CD7"/>
    <w:rsid w:val="002170F4"/>
    <w:rsid w:val="002177A1"/>
    <w:rsid w:val="00217AD4"/>
    <w:rsid w:val="002200C7"/>
    <w:rsid w:val="00221185"/>
    <w:rsid w:val="002219EF"/>
    <w:rsid w:val="0022243A"/>
    <w:rsid w:val="00222C72"/>
    <w:rsid w:val="00224612"/>
    <w:rsid w:val="00224A4B"/>
    <w:rsid w:val="002252BC"/>
    <w:rsid w:val="00226309"/>
    <w:rsid w:val="00226D0A"/>
    <w:rsid w:val="00226EFE"/>
    <w:rsid w:val="002302A1"/>
    <w:rsid w:val="00230958"/>
    <w:rsid w:val="00231324"/>
    <w:rsid w:val="00231625"/>
    <w:rsid w:val="0023213D"/>
    <w:rsid w:val="00232B41"/>
    <w:rsid w:val="00232DCA"/>
    <w:rsid w:val="00233A57"/>
    <w:rsid w:val="00235A3C"/>
    <w:rsid w:val="00236078"/>
    <w:rsid w:val="00236AE3"/>
    <w:rsid w:val="00236ED9"/>
    <w:rsid w:val="00237CC3"/>
    <w:rsid w:val="00240D6D"/>
    <w:rsid w:val="0024125E"/>
    <w:rsid w:val="00241D5E"/>
    <w:rsid w:val="00242377"/>
    <w:rsid w:val="00242686"/>
    <w:rsid w:val="002428B3"/>
    <w:rsid w:val="00244407"/>
    <w:rsid w:val="00244B43"/>
    <w:rsid w:val="0024556B"/>
    <w:rsid w:val="00246ED3"/>
    <w:rsid w:val="0024777C"/>
    <w:rsid w:val="0025113D"/>
    <w:rsid w:val="00252BD2"/>
    <w:rsid w:val="00253683"/>
    <w:rsid w:val="00253761"/>
    <w:rsid w:val="00253F7D"/>
    <w:rsid w:val="002541A3"/>
    <w:rsid w:val="002546DC"/>
    <w:rsid w:val="0026078F"/>
    <w:rsid w:val="002613DB"/>
    <w:rsid w:val="00261A0C"/>
    <w:rsid w:val="00263ECA"/>
    <w:rsid w:val="00263F14"/>
    <w:rsid w:val="00263FFB"/>
    <w:rsid w:val="0027180E"/>
    <w:rsid w:val="002739B1"/>
    <w:rsid w:val="002744E5"/>
    <w:rsid w:val="0027618B"/>
    <w:rsid w:val="00276648"/>
    <w:rsid w:val="00276E5F"/>
    <w:rsid w:val="00277A84"/>
    <w:rsid w:val="002807D3"/>
    <w:rsid w:val="00280947"/>
    <w:rsid w:val="002811F2"/>
    <w:rsid w:val="002818C3"/>
    <w:rsid w:val="00282030"/>
    <w:rsid w:val="0028211E"/>
    <w:rsid w:val="002825C7"/>
    <w:rsid w:val="00283CB0"/>
    <w:rsid w:val="0028488A"/>
    <w:rsid w:val="00285D4B"/>
    <w:rsid w:val="00286DFF"/>
    <w:rsid w:val="00292870"/>
    <w:rsid w:val="00292FC4"/>
    <w:rsid w:val="00293983"/>
    <w:rsid w:val="00293A08"/>
    <w:rsid w:val="00295B4C"/>
    <w:rsid w:val="00295B85"/>
    <w:rsid w:val="00296014"/>
    <w:rsid w:val="002966E9"/>
    <w:rsid w:val="00296760"/>
    <w:rsid w:val="0029698D"/>
    <w:rsid w:val="0029710F"/>
    <w:rsid w:val="00297DA6"/>
    <w:rsid w:val="002A0BD2"/>
    <w:rsid w:val="002A0E86"/>
    <w:rsid w:val="002A1C62"/>
    <w:rsid w:val="002A2269"/>
    <w:rsid w:val="002A2850"/>
    <w:rsid w:val="002A451D"/>
    <w:rsid w:val="002B3AD5"/>
    <w:rsid w:val="002B4030"/>
    <w:rsid w:val="002B445F"/>
    <w:rsid w:val="002B455D"/>
    <w:rsid w:val="002B4B32"/>
    <w:rsid w:val="002B56F6"/>
    <w:rsid w:val="002B6020"/>
    <w:rsid w:val="002B65FB"/>
    <w:rsid w:val="002B6805"/>
    <w:rsid w:val="002B6A0A"/>
    <w:rsid w:val="002B7EA9"/>
    <w:rsid w:val="002C089B"/>
    <w:rsid w:val="002C31BB"/>
    <w:rsid w:val="002C4A76"/>
    <w:rsid w:val="002C6917"/>
    <w:rsid w:val="002C6BC0"/>
    <w:rsid w:val="002C70E6"/>
    <w:rsid w:val="002D06A5"/>
    <w:rsid w:val="002D1F0C"/>
    <w:rsid w:val="002D2E29"/>
    <w:rsid w:val="002D302C"/>
    <w:rsid w:val="002D5AB5"/>
    <w:rsid w:val="002D5C3F"/>
    <w:rsid w:val="002D6938"/>
    <w:rsid w:val="002D7969"/>
    <w:rsid w:val="002D7BF7"/>
    <w:rsid w:val="002E0157"/>
    <w:rsid w:val="002E104E"/>
    <w:rsid w:val="002E3AB3"/>
    <w:rsid w:val="002E492F"/>
    <w:rsid w:val="002E5994"/>
    <w:rsid w:val="002E6505"/>
    <w:rsid w:val="002E773C"/>
    <w:rsid w:val="002F19EF"/>
    <w:rsid w:val="002F3797"/>
    <w:rsid w:val="002F3D8B"/>
    <w:rsid w:val="002F4B8E"/>
    <w:rsid w:val="002F53F8"/>
    <w:rsid w:val="002F587F"/>
    <w:rsid w:val="002F642E"/>
    <w:rsid w:val="002F6848"/>
    <w:rsid w:val="0030036F"/>
    <w:rsid w:val="00300469"/>
    <w:rsid w:val="0030176B"/>
    <w:rsid w:val="00301E3D"/>
    <w:rsid w:val="00303F9C"/>
    <w:rsid w:val="003047CB"/>
    <w:rsid w:val="003047E1"/>
    <w:rsid w:val="00304B2C"/>
    <w:rsid w:val="0030515C"/>
    <w:rsid w:val="00305D81"/>
    <w:rsid w:val="00310E5F"/>
    <w:rsid w:val="00311521"/>
    <w:rsid w:val="0031195C"/>
    <w:rsid w:val="003121CC"/>
    <w:rsid w:val="00312355"/>
    <w:rsid w:val="003133FA"/>
    <w:rsid w:val="00313F0F"/>
    <w:rsid w:val="0031414D"/>
    <w:rsid w:val="003150E5"/>
    <w:rsid w:val="00315176"/>
    <w:rsid w:val="003151F8"/>
    <w:rsid w:val="00315E65"/>
    <w:rsid w:val="003209C6"/>
    <w:rsid w:val="003213D2"/>
    <w:rsid w:val="00321753"/>
    <w:rsid w:val="0032346B"/>
    <w:rsid w:val="003235C3"/>
    <w:rsid w:val="00324714"/>
    <w:rsid w:val="00325FA3"/>
    <w:rsid w:val="00330A01"/>
    <w:rsid w:val="00331A39"/>
    <w:rsid w:val="0033358D"/>
    <w:rsid w:val="0033387B"/>
    <w:rsid w:val="003340F9"/>
    <w:rsid w:val="003352A9"/>
    <w:rsid w:val="00335A51"/>
    <w:rsid w:val="00341AB4"/>
    <w:rsid w:val="0034265A"/>
    <w:rsid w:val="0034293A"/>
    <w:rsid w:val="00342B08"/>
    <w:rsid w:val="00342B84"/>
    <w:rsid w:val="003438F4"/>
    <w:rsid w:val="00344540"/>
    <w:rsid w:val="003461C6"/>
    <w:rsid w:val="00346521"/>
    <w:rsid w:val="0034702D"/>
    <w:rsid w:val="0034773C"/>
    <w:rsid w:val="00351F8D"/>
    <w:rsid w:val="00353746"/>
    <w:rsid w:val="00353FC8"/>
    <w:rsid w:val="003540E2"/>
    <w:rsid w:val="0035430E"/>
    <w:rsid w:val="003552DE"/>
    <w:rsid w:val="003556F1"/>
    <w:rsid w:val="0035671B"/>
    <w:rsid w:val="00357202"/>
    <w:rsid w:val="003619C5"/>
    <w:rsid w:val="00362017"/>
    <w:rsid w:val="00363FC6"/>
    <w:rsid w:val="00367E06"/>
    <w:rsid w:val="003717E5"/>
    <w:rsid w:val="0037230F"/>
    <w:rsid w:val="003723C4"/>
    <w:rsid w:val="003731B4"/>
    <w:rsid w:val="0037344F"/>
    <w:rsid w:val="003742F0"/>
    <w:rsid w:val="003760B7"/>
    <w:rsid w:val="003769C8"/>
    <w:rsid w:val="0037710B"/>
    <w:rsid w:val="0037746A"/>
    <w:rsid w:val="003777A9"/>
    <w:rsid w:val="00377896"/>
    <w:rsid w:val="00382D82"/>
    <w:rsid w:val="00383085"/>
    <w:rsid w:val="00384D19"/>
    <w:rsid w:val="003861BE"/>
    <w:rsid w:val="0039220D"/>
    <w:rsid w:val="00392211"/>
    <w:rsid w:val="003928A0"/>
    <w:rsid w:val="003936E1"/>
    <w:rsid w:val="0039500C"/>
    <w:rsid w:val="00395691"/>
    <w:rsid w:val="00396194"/>
    <w:rsid w:val="003967CE"/>
    <w:rsid w:val="003978E0"/>
    <w:rsid w:val="003A0DFA"/>
    <w:rsid w:val="003A1756"/>
    <w:rsid w:val="003A2A90"/>
    <w:rsid w:val="003A3951"/>
    <w:rsid w:val="003A5602"/>
    <w:rsid w:val="003B1646"/>
    <w:rsid w:val="003B1C42"/>
    <w:rsid w:val="003B2EA9"/>
    <w:rsid w:val="003B319C"/>
    <w:rsid w:val="003B4345"/>
    <w:rsid w:val="003B53A9"/>
    <w:rsid w:val="003B5CE4"/>
    <w:rsid w:val="003B7223"/>
    <w:rsid w:val="003B7EDB"/>
    <w:rsid w:val="003C20D7"/>
    <w:rsid w:val="003C28AE"/>
    <w:rsid w:val="003C3090"/>
    <w:rsid w:val="003C3330"/>
    <w:rsid w:val="003C4573"/>
    <w:rsid w:val="003C4BAD"/>
    <w:rsid w:val="003C72D8"/>
    <w:rsid w:val="003D3AFA"/>
    <w:rsid w:val="003D3D82"/>
    <w:rsid w:val="003D6A6E"/>
    <w:rsid w:val="003D6ACB"/>
    <w:rsid w:val="003D6F23"/>
    <w:rsid w:val="003D76DA"/>
    <w:rsid w:val="003E0704"/>
    <w:rsid w:val="003E0E5E"/>
    <w:rsid w:val="003E1429"/>
    <w:rsid w:val="003E191F"/>
    <w:rsid w:val="003E1F7F"/>
    <w:rsid w:val="003E20AD"/>
    <w:rsid w:val="003E2185"/>
    <w:rsid w:val="003E21BF"/>
    <w:rsid w:val="003E3581"/>
    <w:rsid w:val="003E470D"/>
    <w:rsid w:val="003E513B"/>
    <w:rsid w:val="003E6E28"/>
    <w:rsid w:val="003E74D0"/>
    <w:rsid w:val="003F0F3E"/>
    <w:rsid w:val="003F1372"/>
    <w:rsid w:val="003F1DC0"/>
    <w:rsid w:val="003F366D"/>
    <w:rsid w:val="003F3D62"/>
    <w:rsid w:val="003F5232"/>
    <w:rsid w:val="00400693"/>
    <w:rsid w:val="00401B64"/>
    <w:rsid w:val="00402029"/>
    <w:rsid w:val="00402577"/>
    <w:rsid w:val="00402C8B"/>
    <w:rsid w:val="004034A8"/>
    <w:rsid w:val="00403775"/>
    <w:rsid w:val="00403AFA"/>
    <w:rsid w:val="00405426"/>
    <w:rsid w:val="00405824"/>
    <w:rsid w:val="00405844"/>
    <w:rsid w:val="00406215"/>
    <w:rsid w:val="00410441"/>
    <w:rsid w:val="00411276"/>
    <w:rsid w:val="00413245"/>
    <w:rsid w:val="004148FF"/>
    <w:rsid w:val="00414E6F"/>
    <w:rsid w:val="00414EF5"/>
    <w:rsid w:val="00414F24"/>
    <w:rsid w:val="004151C2"/>
    <w:rsid w:val="004156D5"/>
    <w:rsid w:val="00415FC5"/>
    <w:rsid w:val="00416E34"/>
    <w:rsid w:val="00421268"/>
    <w:rsid w:val="00421302"/>
    <w:rsid w:val="00421EEE"/>
    <w:rsid w:val="004227EA"/>
    <w:rsid w:val="00422CC3"/>
    <w:rsid w:val="00424857"/>
    <w:rsid w:val="00424FF0"/>
    <w:rsid w:val="004259A9"/>
    <w:rsid w:val="00425C14"/>
    <w:rsid w:val="00425E59"/>
    <w:rsid w:val="00426191"/>
    <w:rsid w:val="00430134"/>
    <w:rsid w:val="00431953"/>
    <w:rsid w:val="0043219C"/>
    <w:rsid w:val="00432241"/>
    <w:rsid w:val="00432641"/>
    <w:rsid w:val="0043351C"/>
    <w:rsid w:val="00433AF3"/>
    <w:rsid w:val="0043465C"/>
    <w:rsid w:val="00435617"/>
    <w:rsid w:val="00441FA6"/>
    <w:rsid w:val="00442A99"/>
    <w:rsid w:val="00442F16"/>
    <w:rsid w:val="00443ECC"/>
    <w:rsid w:val="004514C8"/>
    <w:rsid w:val="00451E16"/>
    <w:rsid w:val="00453ED7"/>
    <w:rsid w:val="0045601B"/>
    <w:rsid w:val="00456CD5"/>
    <w:rsid w:val="004601A5"/>
    <w:rsid w:val="00460822"/>
    <w:rsid w:val="00462E48"/>
    <w:rsid w:val="00463A84"/>
    <w:rsid w:val="00464C28"/>
    <w:rsid w:val="00464F17"/>
    <w:rsid w:val="00465A03"/>
    <w:rsid w:val="0046749D"/>
    <w:rsid w:val="00470E14"/>
    <w:rsid w:val="00474023"/>
    <w:rsid w:val="00474BF2"/>
    <w:rsid w:val="00476D47"/>
    <w:rsid w:val="0047799E"/>
    <w:rsid w:val="00481145"/>
    <w:rsid w:val="00481513"/>
    <w:rsid w:val="00481A98"/>
    <w:rsid w:val="00481E6A"/>
    <w:rsid w:val="00484450"/>
    <w:rsid w:val="00484A62"/>
    <w:rsid w:val="00486A5F"/>
    <w:rsid w:val="004872C3"/>
    <w:rsid w:val="00487442"/>
    <w:rsid w:val="00487553"/>
    <w:rsid w:val="00491B2A"/>
    <w:rsid w:val="00491CA4"/>
    <w:rsid w:val="00492AF7"/>
    <w:rsid w:val="00494E6E"/>
    <w:rsid w:val="00495F48"/>
    <w:rsid w:val="004960F0"/>
    <w:rsid w:val="004973A6"/>
    <w:rsid w:val="00497D0E"/>
    <w:rsid w:val="004A036E"/>
    <w:rsid w:val="004A155F"/>
    <w:rsid w:val="004A6092"/>
    <w:rsid w:val="004A768E"/>
    <w:rsid w:val="004A7FE3"/>
    <w:rsid w:val="004B0073"/>
    <w:rsid w:val="004B0815"/>
    <w:rsid w:val="004B169B"/>
    <w:rsid w:val="004B1ACF"/>
    <w:rsid w:val="004B2803"/>
    <w:rsid w:val="004B2B9D"/>
    <w:rsid w:val="004B3D85"/>
    <w:rsid w:val="004B50FB"/>
    <w:rsid w:val="004B511D"/>
    <w:rsid w:val="004B61F9"/>
    <w:rsid w:val="004B7227"/>
    <w:rsid w:val="004C17EC"/>
    <w:rsid w:val="004C1E9A"/>
    <w:rsid w:val="004C2FD9"/>
    <w:rsid w:val="004C58A0"/>
    <w:rsid w:val="004D0AA6"/>
    <w:rsid w:val="004D21F0"/>
    <w:rsid w:val="004D2C00"/>
    <w:rsid w:val="004D3041"/>
    <w:rsid w:val="004D40C2"/>
    <w:rsid w:val="004D483C"/>
    <w:rsid w:val="004D4AF0"/>
    <w:rsid w:val="004D55AC"/>
    <w:rsid w:val="004D5A59"/>
    <w:rsid w:val="004E129B"/>
    <w:rsid w:val="004E1B39"/>
    <w:rsid w:val="004E515B"/>
    <w:rsid w:val="004E70BA"/>
    <w:rsid w:val="004E71FA"/>
    <w:rsid w:val="004F0AEB"/>
    <w:rsid w:val="004F15D2"/>
    <w:rsid w:val="004F22BC"/>
    <w:rsid w:val="004F3C8A"/>
    <w:rsid w:val="004F42D4"/>
    <w:rsid w:val="004F4727"/>
    <w:rsid w:val="005000BC"/>
    <w:rsid w:val="0050023E"/>
    <w:rsid w:val="00500E1E"/>
    <w:rsid w:val="00501554"/>
    <w:rsid w:val="00501892"/>
    <w:rsid w:val="00501B42"/>
    <w:rsid w:val="00502B7F"/>
    <w:rsid w:val="00504503"/>
    <w:rsid w:val="00504554"/>
    <w:rsid w:val="00507077"/>
    <w:rsid w:val="00507A20"/>
    <w:rsid w:val="00507C4E"/>
    <w:rsid w:val="005100F1"/>
    <w:rsid w:val="00513F5B"/>
    <w:rsid w:val="00514BE6"/>
    <w:rsid w:val="0051501E"/>
    <w:rsid w:val="00515776"/>
    <w:rsid w:val="0051680E"/>
    <w:rsid w:val="00517662"/>
    <w:rsid w:val="00520095"/>
    <w:rsid w:val="00520FFE"/>
    <w:rsid w:val="00521B5F"/>
    <w:rsid w:val="00523607"/>
    <w:rsid w:val="005236DE"/>
    <w:rsid w:val="00523E35"/>
    <w:rsid w:val="00524DAC"/>
    <w:rsid w:val="00525950"/>
    <w:rsid w:val="00525EC5"/>
    <w:rsid w:val="00526513"/>
    <w:rsid w:val="005266BB"/>
    <w:rsid w:val="00530C26"/>
    <w:rsid w:val="00531EC3"/>
    <w:rsid w:val="0053360B"/>
    <w:rsid w:val="00533794"/>
    <w:rsid w:val="00533BA7"/>
    <w:rsid w:val="00533D55"/>
    <w:rsid w:val="00534159"/>
    <w:rsid w:val="005344A1"/>
    <w:rsid w:val="00535062"/>
    <w:rsid w:val="00535CCA"/>
    <w:rsid w:val="00540833"/>
    <w:rsid w:val="005422F4"/>
    <w:rsid w:val="00542E4C"/>
    <w:rsid w:val="00542F72"/>
    <w:rsid w:val="005450CF"/>
    <w:rsid w:val="005458A1"/>
    <w:rsid w:val="00545D19"/>
    <w:rsid w:val="00546F0C"/>
    <w:rsid w:val="0054789A"/>
    <w:rsid w:val="00551D94"/>
    <w:rsid w:val="005523E2"/>
    <w:rsid w:val="00554DE6"/>
    <w:rsid w:val="0055568F"/>
    <w:rsid w:val="005605BD"/>
    <w:rsid w:val="00560954"/>
    <w:rsid w:val="00562AB6"/>
    <w:rsid w:val="00564FBF"/>
    <w:rsid w:val="005653B4"/>
    <w:rsid w:val="005654B1"/>
    <w:rsid w:val="00566182"/>
    <w:rsid w:val="005664AE"/>
    <w:rsid w:val="0056688C"/>
    <w:rsid w:val="0056729B"/>
    <w:rsid w:val="0057146A"/>
    <w:rsid w:val="0057278E"/>
    <w:rsid w:val="005730AF"/>
    <w:rsid w:val="0057454F"/>
    <w:rsid w:val="00574AD2"/>
    <w:rsid w:val="00574CD9"/>
    <w:rsid w:val="00575903"/>
    <w:rsid w:val="00576E2D"/>
    <w:rsid w:val="00582B6B"/>
    <w:rsid w:val="0058538A"/>
    <w:rsid w:val="00585AAC"/>
    <w:rsid w:val="00585ECC"/>
    <w:rsid w:val="005864C4"/>
    <w:rsid w:val="00587DA3"/>
    <w:rsid w:val="00590C39"/>
    <w:rsid w:val="00590C6B"/>
    <w:rsid w:val="00591478"/>
    <w:rsid w:val="00591EAD"/>
    <w:rsid w:val="005927A6"/>
    <w:rsid w:val="005928C9"/>
    <w:rsid w:val="00592A0B"/>
    <w:rsid w:val="00594F65"/>
    <w:rsid w:val="00595356"/>
    <w:rsid w:val="00595548"/>
    <w:rsid w:val="00596379"/>
    <w:rsid w:val="005968DB"/>
    <w:rsid w:val="005A00FC"/>
    <w:rsid w:val="005A19A7"/>
    <w:rsid w:val="005A1FF7"/>
    <w:rsid w:val="005A6DDC"/>
    <w:rsid w:val="005A6E64"/>
    <w:rsid w:val="005A7DCB"/>
    <w:rsid w:val="005B1798"/>
    <w:rsid w:val="005B1D33"/>
    <w:rsid w:val="005B22B1"/>
    <w:rsid w:val="005B343C"/>
    <w:rsid w:val="005B46B8"/>
    <w:rsid w:val="005B57BA"/>
    <w:rsid w:val="005B5FA3"/>
    <w:rsid w:val="005C136B"/>
    <w:rsid w:val="005C174A"/>
    <w:rsid w:val="005C2A23"/>
    <w:rsid w:val="005C2B21"/>
    <w:rsid w:val="005C3896"/>
    <w:rsid w:val="005C3E78"/>
    <w:rsid w:val="005D00A0"/>
    <w:rsid w:val="005D1AA2"/>
    <w:rsid w:val="005D52B6"/>
    <w:rsid w:val="005D7E57"/>
    <w:rsid w:val="005E1DD2"/>
    <w:rsid w:val="005E2E18"/>
    <w:rsid w:val="005E369F"/>
    <w:rsid w:val="005E493E"/>
    <w:rsid w:val="005E5084"/>
    <w:rsid w:val="005E59BD"/>
    <w:rsid w:val="005E5D3B"/>
    <w:rsid w:val="005E641B"/>
    <w:rsid w:val="005E7629"/>
    <w:rsid w:val="005F329B"/>
    <w:rsid w:val="005F35FF"/>
    <w:rsid w:val="005F5768"/>
    <w:rsid w:val="005F5F44"/>
    <w:rsid w:val="005F62E7"/>
    <w:rsid w:val="005F6E17"/>
    <w:rsid w:val="005F6E3C"/>
    <w:rsid w:val="005F7E20"/>
    <w:rsid w:val="00600212"/>
    <w:rsid w:val="00601307"/>
    <w:rsid w:val="006016B6"/>
    <w:rsid w:val="00601DB6"/>
    <w:rsid w:val="006023D7"/>
    <w:rsid w:val="00603115"/>
    <w:rsid w:val="00603184"/>
    <w:rsid w:val="006046B1"/>
    <w:rsid w:val="00605107"/>
    <w:rsid w:val="0060515F"/>
    <w:rsid w:val="006054F0"/>
    <w:rsid w:val="00605878"/>
    <w:rsid w:val="00605CE0"/>
    <w:rsid w:val="0060628F"/>
    <w:rsid w:val="00606FC6"/>
    <w:rsid w:val="00613EB0"/>
    <w:rsid w:val="006142E7"/>
    <w:rsid w:val="00614BF8"/>
    <w:rsid w:val="00620BC2"/>
    <w:rsid w:val="00621093"/>
    <w:rsid w:val="00623F8C"/>
    <w:rsid w:val="00624F4B"/>
    <w:rsid w:val="006261A1"/>
    <w:rsid w:val="0062741C"/>
    <w:rsid w:val="00627782"/>
    <w:rsid w:val="00627A37"/>
    <w:rsid w:val="00630903"/>
    <w:rsid w:val="0063250A"/>
    <w:rsid w:val="00632922"/>
    <w:rsid w:val="00633E72"/>
    <w:rsid w:val="00635067"/>
    <w:rsid w:val="00635D0C"/>
    <w:rsid w:val="006361F7"/>
    <w:rsid w:val="006364D6"/>
    <w:rsid w:val="006366B5"/>
    <w:rsid w:val="00637FAC"/>
    <w:rsid w:val="00640463"/>
    <w:rsid w:val="00641D7E"/>
    <w:rsid w:val="00646F30"/>
    <w:rsid w:val="00646F55"/>
    <w:rsid w:val="00647290"/>
    <w:rsid w:val="006474D3"/>
    <w:rsid w:val="006501A1"/>
    <w:rsid w:val="00651A13"/>
    <w:rsid w:val="00651A2E"/>
    <w:rsid w:val="00652551"/>
    <w:rsid w:val="00653F07"/>
    <w:rsid w:val="0065478F"/>
    <w:rsid w:val="00654B98"/>
    <w:rsid w:val="00656708"/>
    <w:rsid w:val="006568E7"/>
    <w:rsid w:val="00661943"/>
    <w:rsid w:val="00661DED"/>
    <w:rsid w:val="00662E42"/>
    <w:rsid w:val="0066326D"/>
    <w:rsid w:val="0066461A"/>
    <w:rsid w:val="006647B0"/>
    <w:rsid w:val="00665091"/>
    <w:rsid w:val="00666052"/>
    <w:rsid w:val="00667C63"/>
    <w:rsid w:val="0067047B"/>
    <w:rsid w:val="006708F7"/>
    <w:rsid w:val="0067140C"/>
    <w:rsid w:val="006723E4"/>
    <w:rsid w:val="006727BA"/>
    <w:rsid w:val="0067380D"/>
    <w:rsid w:val="00673985"/>
    <w:rsid w:val="00675070"/>
    <w:rsid w:val="00675CC2"/>
    <w:rsid w:val="00677B2C"/>
    <w:rsid w:val="0068099D"/>
    <w:rsid w:val="00680B7C"/>
    <w:rsid w:val="00681408"/>
    <w:rsid w:val="006828A6"/>
    <w:rsid w:val="00683522"/>
    <w:rsid w:val="00683A27"/>
    <w:rsid w:val="00686A7D"/>
    <w:rsid w:val="00686A8B"/>
    <w:rsid w:val="00687670"/>
    <w:rsid w:val="0069033F"/>
    <w:rsid w:val="006912A9"/>
    <w:rsid w:val="006913D8"/>
    <w:rsid w:val="0069221A"/>
    <w:rsid w:val="006932D4"/>
    <w:rsid w:val="00693CEC"/>
    <w:rsid w:val="0069658E"/>
    <w:rsid w:val="00696977"/>
    <w:rsid w:val="006975E2"/>
    <w:rsid w:val="006A1A33"/>
    <w:rsid w:val="006A1B56"/>
    <w:rsid w:val="006A24BD"/>
    <w:rsid w:val="006A2947"/>
    <w:rsid w:val="006A2B98"/>
    <w:rsid w:val="006A39A6"/>
    <w:rsid w:val="006A68E7"/>
    <w:rsid w:val="006A7F9E"/>
    <w:rsid w:val="006B05BA"/>
    <w:rsid w:val="006B0CD0"/>
    <w:rsid w:val="006B105C"/>
    <w:rsid w:val="006B315A"/>
    <w:rsid w:val="006B327C"/>
    <w:rsid w:val="006B3346"/>
    <w:rsid w:val="006B3E6D"/>
    <w:rsid w:val="006B4605"/>
    <w:rsid w:val="006B4BE6"/>
    <w:rsid w:val="006B5D12"/>
    <w:rsid w:val="006B7831"/>
    <w:rsid w:val="006C23E3"/>
    <w:rsid w:val="006C30E6"/>
    <w:rsid w:val="006C363F"/>
    <w:rsid w:val="006C4283"/>
    <w:rsid w:val="006C465F"/>
    <w:rsid w:val="006C513F"/>
    <w:rsid w:val="006C5231"/>
    <w:rsid w:val="006C5B90"/>
    <w:rsid w:val="006D04D4"/>
    <w:rsid w:val="006D0948"/>
    <w:rsid w:val="006D1755"/>
    <w:rsid w:val="006D2447"/>
    <w:rsid w:val="006D2D7E"/>
    <w:rsid w:val="006D36D3"/>
    <w:rsid w:val="006D3C31"/>
    <w:rsid w:val="006D50E0"/>
    <w:rsid w:val="006D5150"/>
    <w:rsid w:val="006D5192"/>
    <w:rsid w:val="006D6EEC"/>
    <w:rsid w:val="006D7547"/>
    <w:rsid w:val="006E0739"/>
    <w:rsid w:val="006E1274"/>
    <w:rsid w:val="006E19F1"/>
    <w:rsid w:val="006E255F"/>
    <w:rsid w:val="006E2DAA"/>
    <w:rsid w:val="006F287F"/>
    <w:rsid w:val="006F2CE5"/>
    <w:rsid w:val="006F4D05"/>
    <w:rsid w:val="006F533D"/>
    <w:rsid w:val="006F5B5C"/>
    <w:rsid w:val="006F5FFC"/>
    <w:rsid w:val="006F6F20"/>
    <w:rsid w:val="006F71E2"/>
    <w:rsid w:val="00700862"/>
    <w:rsid w:val="00700AF5"/>
    <w:rsid w:val="007026BB"/>
    <w:rsid w:val="007037C7"/>
    <w:rsid w:val="00703DB7"/>
    <w:rsid w:val="00705602"/>
    <w:rsid w:val="007112FC"/>
    <w:rsid w:val="007114DE"/>
    <w:rsid w:val="00712722"/>
    <w:rsid w:val="007130EC"/>
    <w:rsid w:val="00713DFA"/>
    <w:rsid w:val="007160BE"/>
    <w:rsid w:val="00717555"/>
    <w:rsid w:val="00720CC2"/>
    <w:rsid w:val="00720F8E"/>
    <w:rsid w:val="00721941"/>
    <w:rsid w:val="00722755"/>
    <w:rsid w:val="007233EB"/>
    <w:rsid w:val="00724454"/>
    <w:rsid w:val="007255C5"/>
    <w:rsid w:val="0072593F"/>
    <w:rsid w:val="00726461"/>
    <w:rsid w:val="007266C2"/>
    <w:rsid w:val="00731196"/>
    <w:rsid w:val="00731392"/>
    <w:rsid w:val="00731A7B"/>
    <w:rsid w:val="0073322E"/>
    <w:rsid w:val="00734F3D"/>
    <w:rsid w:val="007365CD"/>
    <w:rsid w:val="00736683"/>
    <w:rsid w:val="0073792D"/>
    <w:rsid w:val="0074056E"/>
    <w:rsid w:val="007405A4"/>
    <w:rsid w:val="00740F25"/>
    <w:rsid w:val="00742DB4"/>
    <w:rsid w:val="00743435"/>
    <w:rsid w:val="00743A11"/>
    <w:rsid w:val="0074495F"/>
    <w:rsid w:val="0074719A"/>
    <w:rsid w:val="0074745B"/>
    <w:rsid w:val="0075165E"/>
    <w:rsid w:val="00752213"/>
    <w:rsid w:val="0075556B"/>
    <w:rsid w:val="007560EE"/>
    <w:rsid w:val="00757CCA"/>
    <w:rsid w:val="00761341"/>
    <w:rsid w:val="00761C8B"/>
    <w:rsid w:val="00764E99"/>
    <w:rsid w:val="00765FC1"/>
    <w:rsid w:val="00766D7E"/>
    <w:rsid w:val="00770C04"/>
    <w:rsid w:val="0077349D"/>
    <w:rsid w:val="007768A2"/>
    <w:rsid w:val="00776B71"/>
    <w:rsid w:val="00776C62"/>
    <w:rsid w:val="0077709A"/>
    <w:rsid w:val="00777626"/>
    <w:rsid w:val="00777D21"/>
    <w:rsid w:val="00777D6B"/>
    <w:rsid w:val="00781E94"/>
    <w:rsid w:val="00783D6B"/>
    <w:rsid w:val="00783E4C"/>
    <w:rsid w:val="0078586A"/>
    <w:rsid w:val="007865A5"/>
    <w:rsid w:val="007870EE"/>
    <w:rsid w:val="007929DA"/>
    <w:rsid w:val="00794336"/>
    <w:rsid w:val="00795A62"/>
    <w:rsid w:val="007965BF"/>
    <w:rsid w:val="00797296"/>
    <w:rsid w:val="007A4A85"/>
    <w:rsid w:val="007A50FB"/>
    <w:rsid w:val="007A59FF"/>
    <w:rsid w:val="007A6730"/>
    <w:rsid w:val="007A69B3"/>
    <w:rsid w:val="007A6C37"/>
    <w:rsid w:val="007A7EF8"/>
    <w:rsid w:val="007B2014"/>
    <w:rsid w:val="007B468E"/>
    <w:rsid w:val="007B4AF0"/>
    <w:rsid w:val="007B67FE"/>
    <w:rsid w:val="007B68C8"/>
    <w:rsid w:val="007B7521"/>
    <w:rsid w:val="007B7E6E"/>
    <w:rsid w:val="007C1142"/>
    <w:rsid w:val="007C232B"/>
    <w:rsid w:val="007C340F"/>
    <w:rsid w:val="007C3C59"/>
    <w:rsid w:val="007C3DE3"/>
    <w:rsid w:val="007C5A60"/>
    <w:rsid w:val="007C7796"/>
    <w:rsid w:val="007D384A"/>
    <w:rsid w:val="007D5134"/>
    <w:rsid w:val="007D5346"/>
    <w:rsid w:val="007D64DF"/>
    <w:rsid w:val="007D6E48"/>
    <w:rsid w:val="007E059B"/>
    <w:rsid w:val="007E22E9"/>
    <w:rsid w:val="007E2B7B"/>
    <w:rsid w:val="007E2F10"/>
    <w:rsid w:val="007E30A0"/>
    <w:rsid w:val="007E3B11"/>
    <w:rsid w:val="007E78F9"/>
    <w:rsid w:val="007F10C7"/>
    <w:rsid w:val="007F14BE"/>
    <w:rsid w:val="007F3C4C"/>
    <w:rsid w:val="007F4C42"/>
    <w:rsid w:val="007F5FAF"/>
    <w:rsid w:val="007F704A"/>
    <w:rsid w:val="00800DB3"/>
    <w:rsid w:val="0080112F"/>
    <w:rsid w:val="0080156E"/>
    <w:rsid w:val="00802B6E"/>
    <w:rsid w:val="00804165"/>
    <w:rsid w:val="008042A0"/>
    <w:rsid w:val="008048C0"/>
    <w:rsid w:val="0080661C"/>
    <w:rsid w:val="00807F74"/>
    <w:rsid w:val="0081010D"/>
    <w:rsid w:val="0081053A"/>
    <w:rsid w:val="00810A4D"/>
    <w:rsid w:val="00811857"/>
    <w:rsid w:val="00812AB0"/>
    <w:rsid w:val="00812C0D"/>
    <w:rsid w:val="00812F1D"/>
    <w:rsid w:val="008132FE"/>
    <w:rsid w:val="00813808"/>
    <w:rsid w:val="00814DEB"/>
    <w:rsid w:val="0081545F"/>
    <w:rsid w:val="00816544"/>
    <w:rsid w:val="00817969"/>
    <w:rsid w:val="00817EDC"/>
    <w:rsid w:val="00821541"/>
    <w:rsid w:val="00823280"/>
    <w:rsid w:val="00823832"/>
    <w:rsid w:val="00825494"/>
    <w:rsid w:val="00825C20"/>
    <w:rsid w:val="00826C95"/>
    <w:rsid w:val="008279AE"/>
    <w:rsid w:val="00832870"/>
    <w:rsid w:val="00833C43"/>
    <w:rsid w:val="00833ECF"/>
    <w:rsid w:val="008342F4"/>
    <w:rsid w:val="00835FB9"/>
    <w:rsid w:val="00841C73"/>
    <w:rsid w:val="00841E4F"/>
    <w:rsid w:val="008426FE"/>
    <w:rsid w:val="00842754"/>
    <w:rsid w:val="008432A0"/>
    <w:rsid w:val="00845BDD"/>
    <w:rsid w:val="00845C52"/>
    <w:rsid w:val="00845E7B"/>
    <w:rsid w:val="008463C3"/>
    <w:rsid w:val="008469F8"/>
    <w:rsid w:val="00847AD5"/>
    <w:rsid w:val="0085241A"/>
    <w:rsid w:val="00856A85"/>
    <w:rsid w:val="008575F6"/>
    <w:rsid w:val="0086000A"/>
    <w:rsid w:val="008608A5"/>
    <w:rsid w:val="00861DF0"/>
    <w:rsid w:val="00866DCD"/>
    <w:rsid w:val="00867760"/>
    <w:rsid w:val="00870F69"/>
    <w:rsid w:val="008729CC"/>
    <w:rsid w:val="008740D0"/>
    <w:rsid w:val="008746D6"/>
    <w:rsid w:val="008759D4"/>
    <w:rsid w:val="0088115C"/>
    <w:rsid w:val="00882CB6"/>
    <w:rsid w:val="0088515D"/>
    <w:rsid w:val="00885A24"/>
    <w:rsid w:val="008866A1"/>
    <w:rsid w:val="008873E7"/>
    <w:rsid w:val="008900C3"/>
    <w:rsid w:val="0089025B"/>
    <w:rsid w:val="008916C0"/>
    <w:rsid w:val="00891CD5"/>
    <w:rsid w:val="0089212D"/>
    <w:rsid w:val="008924A9"/>
    <w:rsid w:val="0089303E"/>
    <w:rsid w:val="00894047"/>
    <w:rsid w:val="0089504E"/>
    <w:rsid w:val="008967FD"/>
    <w:rsid w:val="00897ADD"/>
    <w:rsid w:val="008A0F25"/>
    <w:rsid w:val="008A1C5C"/>
    <w:rsid w:val="008A2C10"/>
    <w:rsid w:val="008A2ECD"/>
    <w:rsid w:val="008A2FEF"/>
    <w:rsid w:val="008A3E6D"/>
    <w:rsid w:val="008A6A67"/>
    <w:rsid w:val="008A7014"/>
    <w:rsid w:val="008B051F"/>
    <w:rsid w:val="008B06D1"/>
    <w:rsid w:val="008B1FFB"/>
    <w:rsid w:val="008B20D4"/>
    <w:rsid w:val="008B29AA"/>
    <w:rsid w:val="008B35B0"/>
    <w:rsid w:val="008B4DD4"/>
    <w:rsid w:val="008B5A8C"/>
    <w:rsid w:val="008B65F0"/>
    <w:rsid w:val="008B7195"/>
    <w:rsid w:val="008B71FA"/>
    <w:rsid w:val="008C1408"/>
    <w:rsid w:val="008C32BF"/>
    <w:rsid w:val="008C41BD"/>
    <w:rsid w:val="008C51CF"/>
    <w:rsid w:val="008C569B"/>
    <w:rsid w:val="008C6061"/>
    <w:rsid w:val="008D1852"/>
    <w:rsid w:val="008D2482"/>
    <w:rsid w:val="008D2F4E"/>
    <w:rsid w:val="008D4253"/>
    <w:rsid w:val="008D641D"/>
    <w:rsid w:val="008D6B07"/>
    <w:rsid w:val="008D771D"/>
    <w:rsid w:val="008E35A1"/>
    <w:rsid w:val="008E3B44"/>
    <w:rsid w:val="008E548B"/>
    <w:rsid w:val="008E64CA"/>
    <w:rsid w:val="008E668E"/>
    <w:rsid w:val="008E68B7"/>
    <w:rsid w:val="008E698B"/>
    <w:rsid w:val="008F0A99"/>
    <w:rsid w:val="008F1DFC"/>
    <w:rsid w:val="008F2828"/>
    <w:rsid w:val="008F2BA2"/>
    <w:rsid w:val="008F4A2E"/>
    <w:rsid w:val="008F65F2"/>
    <w:rsid w:val="008F74A5"/>
    <w:rsid w:val="008F7F3E"/>
    <w:rsid w:val="00901138"/>
    <w:rsid w:val="00901CB3"/>
    <w:rsid w:val="009025BE"/>
    <w:rsid w:val="00902955"/>
    <w:rsid w:val="009034AC"/>
    <w:rsid w:val="00903935"/>
    <w:rsid w:val="00903B62"/>
    <w:rsid w:val="00903FBF"/>
    <w:rsid w:val="009040B4"/>
    <w:rsid w:val="0090548F"/>
    <w:rsid w:val="00906CA4"/>
    <w:rsid w:val="00906DE1"/>
    <w:rsid w:val="00906F2E"/>
    <w:rsid w:val="00907EBE"/>
    <w:rsid w:val="00910604"/>
    <w:rsid w:val="00912236"/>
    <w:rsid w:val="009124F3"/>
    <w:rsid w:val="0091344E"/>
    <w:rsid w:val="009153BA"/>
    <w:rsid w:val="009154BD"/>
    <w:rsid w:val="00915CEB"/>
    <w:rsid w:val="0092030A"/>
    <w:rsid w:val="0092069E"/>
    <w:rsid w:val="0092119C"/>
    <w:rsid w:val="009214FB"/>
    <w:rsid w:val="0092220B"/>
    <w:rsid w:val="0092357C"/>
    <w:rsid w:val="009238A1"/>
    <w:rsid w:val="00924749"/>
    <w:rsid w:val="00924F81"/>
    <w:rsid w:val="009256A0"/>
    <w:rsid w:val="00925C53"/>
    <w:rsid w:val="00925DEE"/>
    <w:rsid w:val="00926890"/>
    <w:rsid w:val="009273AA"/>
    <w:rsid w:val="00930B80"/>
    <w:rsid w:val="00931395"/>
    <w:rsid w:val="0093204E"/>
    <w:rsid w:val="00932889"/>
    <w:rsid w:val="00934D7A"/>
    <w:rsid w:val="009357DD"/>
    <w:rsid w:val="00936A21"/>
    <w:rsid w:val="0093757C"/>
    <w:rsid w:val="0094144E"/>
    <w:rsid w:val="00941A03"/>
    <w:rsid w:val="00941F9D"/>
    <w:rsid w:val="00942AD4"/>
    <w:rsid w:val="0094546D"/>
    <w:rsid w:val="00945532"/>
    <w:rsid w:val="00946820"/>
    <w:rsid w:val="00946DFD"/>
    <w:rsid w:val="00951413"/>
    <w:rsid w:val="00952198"/>
    <w:rsid w:val="00953E5D"/>
    <w:rsid w:val="00954D0A"/>
    <w:rsid w:val="0095565E"/>
    <w:rsid w:val="009562E6"/>
    <w:rsid w:val="00956304"/>
    <w:rsid w:val="00956F54"/>
    <w:rsid w:val="00957370"/>
    <w:rsid w:val="00962BB8"/>
    <w:rsid w:val="009632EF"/>
    <w:rsid w:val="00965D19"/>
    <w:rsid w:val="00967A5B"/>
    <w:rsid w:val="009719ED"/>
    <w:rsid w:val="0097250B"/>
    <w:rsid w:val="009734FD"/>
    <w:rsid w:val="0097385A"/>
    <w:rsid w:val="00973959"/>
    <w:rsid w:val="00973D48"/>
    <w:rsid w:val="00974083"/>
    <w:rsid w:val="009747D0"/>
    <w:rsid w:val="0097511E"/>
    <w:rsid w:val="0097638E"/>
    <w:rsid w:val="009777F2"/>
    <w:rsid w:val="00977C14"/>
    <w:rsid w:val="00980E29"/>
    <w:rsid w:val="00983466"/>
    <w:rsid w:val="00984BE4"/>
    <w:rsid w:val="00984D70"/>
    <w:rsid w:val="00985168"/>
    <w:rsid w:val="00985AC7"/>
    <w:rsid w:val="00987960"/>
    <w:rsid w:val="00991088"/>
    <w:rsid w:val="009921DB"/>
    <w:rsid w:val="00992C24"/>
    <w:rsid w:val="00992C93"/>
    <w:rsid w:val="00992F39"/>
    <w:rsid w:val="00993162"/>
    <w:rsid w:val="00994451"/>
    <w:rsid w:val="00994EDD"/>
    <w:rsid w:val="00995AC8"/>
    <w:rsid w:val="00996BEA"/>
    <w:rsid w:val="009A04CD"/>
    <w:rsid w:val="009A0601"/>
    <w:rsid w:val="009A1B3D"/>
    <w:rsid w:val="009A2511"/>
    <w:rsid w:val="009A34A6"/>
    <w:rsid w:val="009A3956"/>
    <w:rsid w:val="009A3AC1"/>
    <w:rsid w:val="009A4889"/>
    <w:rsid w:val="009A4B86"/>
    <w:rsid w:val="009A795D"/>
    <w:rsid w:val="009B1B86"/>
    <w:rsid w:val="009B2B39"/>
    <w:rsid w:val="009B48AF"/>
    <w:rsid w:val="009B638D"/>
    <w:rsid w:val="009B6C30"/>
    <w:rsid w:val="009B6E43"/>
    <w:rsid w:val="009B79BA"/>
    <w:rsid w:val="009B7F36"/>
    <w:rsid w:val="009C077F"/>
    <w:rsid w:val="009C120D"/>
    <w:rsid w:val="009C1437"/>
    <w:rsid w:val="009C29D8"/>
    <w:rsid w:val="009C3E71"/>
    <w:rsid w:val="009C4D24"/>
    <w:rsid w:val="009C6364"/>
    <w:rsid w:val="009C65A0"/>
    <w:rsid w:val="009D3376"/>
    <w:rsid w:val="009D57C9"/>
    <w:rsid w:val="009D78E5"/>
    <w:rsid w:val="009D7E8A"/>
    <w:rsid w:val="009E422B"/>
    <w:rsid w:val="009E4DD5"/>
    <w:rsid w:val="009E4F03"/>
    <w:rsid w:val="009E541A"/>
    <w:rsid w:val="009E55A7"/>
    <w:rsid w:val="009E64DD"/>
    <w:rsid w:val="009E64F6"/>
    <w:rsid w:val="009E671D"/>
    <w:rsid w:val="009E7B45"/>
    <w:rsid w:val="009F023C"/>
    <w:rsid w:val="009F0909"/>
    <w:rsid w:val="009F0E94"/>
    <w:rsid w:val="009F3CC6"/>
    <w:rsid w:val="009F4DE2"/>
    <w:rsid w:val="009F64D0"/>
    <w:rsid w:val="009F66A3"/>
    <w:rsid w:val="009F70F8"/>
    <w:rsid w:val="009F76CE"/>
    <w:rsid w:val="009F78EB"/>
    <w:rsid w:val="00A02EBE"/>
    <w:rsid w:val="00A04DE3"/>
    <w:rsid w:val="00A0758B"/>
    <w:rsid w:val="00A078B8"/>
    <w:rsid w:val="00A11B8F"/>
    <w:rsid w:val="00A11EF2"/>
    <w:rsid w:val="00A11F35"/>
    <w:rsid w:val="00A12FB4"/>
    <w:rsid w:val="00A13CDF"/>
    <w:rsid w:val="00A1434E"/>
    <w:rsid w:val="00A17C6D"/>
    <w:rsid w:val="00A20A2B"/>
    <w:rsid w:val="00A2233B"/>
    <w:rsid w:val="00A23442"/>
    <w:rsid w:val="00A24B8B"/>
    <w:rsid w:val="00A26237"/>
    <w:rsid w:val="00A26335"/>
    <w:rsid w:val="00A26DB3"/>
    <w:rsid w:val="00A27A51"/>
    <w:rsid w:val="00A27EDA"/>
    <w:rsid w:val="00A27FCA"/>
    <w:rsid w:val="00A30AB4"/>
    <w:rsid w:val="00A30B10"/>
    <w:rsid w:val="00A31AD4"/>
    <w:rsid w:val="00A31DA6"/>
    <w:rsid w:val="00A329F6"/>
    <w:rsid w:val="00A32BE5"/>
    <w:rsid w:val="00A33DCB"/>
    <w:rsid w:val="00A343A0"/>
    <w:rsid w:val="00A343B8"/>
    <w:rsid w:val="00A358C9"/>
    <w:rsid w:val="00A36025"/>
    <w:rsid w:val="00A36D4B"/>
    <w:rsid w:val="00A43398"/>
    <w:rsid w:val="00A44934"/>
    <w:rsid w:val="00A4510B"/>
    <w:rsid w:val="00A46A0D"/>
    <w:rsid w:val="00A47CAA"/>
    <w:rsid w:val="00A50CD1"/>
    <w:rsid w:val="00A52EFE"/>
    <w:rsid w:val="00A53608"/>
    <w:rsid w:val="00A54172"/>
    <w:rsid w:val="00A55041"/>
    <w:rsid w:val="00A55909"/>
    <w:rsid w:val="00A56278"/>
    <w:rsid w:val="00A61094"/>
    <w:rsid w:val="00A61222"/>
    <w:rsid w:val="00A6126A"/>
    <w:rsid w:val="00A627A9"/>
    <w:rsid w:val="00A629E3"/>
    <w:rsid w:val="00A62BF5"/>
    <w:rsid w:val="00A62F9F"/>
    <w:rsid w:val="00A63A09"/>
    <w:rsid w:val="00A66481"/>
    <w:rsid w:val="00A67C7B"/>
    <w:rsid w:val="00A7039A"/>
    <w:rsid w:val="00A70A79"/>
    <w:rsid w:val="00A70C13"/>
    <w:rsid w:val="00A70C81"/>
    <w:rsid w:val="00A710BB"/>
    <w:rsid w:val="00A7307A"/>
    <w:rsid w:val="00A74655"/>
    <w:rsid w:val="00A76221"/>
    <w:rsid w:val="00A7650F"/>
    <w:rsid w:val="00A77D36"/>
    <w:rsid w:val="00A80EC7"/>
    <w:rsid w:val="00A823AF"/>
    <w:rsid w:val="00A8282D"/>
    <w:rsid w:val="00A83024"/>
    <w:rsid w:val="00A832C0"/>
    <w:rsid w:val="00A8371D"/>
    <w:rsid w:val="00A83FB1"/>
    <w:rsid w:val="00A849A4"/>
    <w:rsid w:val="00A86F74"/>
    <w:rsid w:val="00A901E6"/>
    <w:rsid w:val="00A903D2"/>
    <w:rsid w:val="00A9071E"/>
    <w:rsid w:val="00A909F4"/>
    <w:rsid w:val="00A911D9"/>
    <w:rsid w:val="00A941BC"/>
    <w:rsid w:val="00A94E85"/>
    <w:rsid w:val="00A96062"/>
    <w:rsid w:val="00A962EF"/>
    <w:rsid w:val="00A967E3"/>
    <w:rsid w:val="00A97A74"/>
    <w:rsid w:val="00AA0AE5"/>
    <w:rsid w:val="00AA0E2A"/>
    <w:rsid w:val="00AA16B6"/>
    <w:rsid w:val="00AA1D71"/>
    <w:rsid w:val="00AA25C4"/>
    <w:rsid w:val="00AA2FE4"/>
    <w:rsid w:val="00AA324F"/>
    <w:rsid w:val="00AA334E"/>
    <w:rsid w:val="00AA34B3"/>
    <w:rsid w:val="00AA3BF6"/>
    <w:rsid w:val="00AA465C"/>
    <w:rsid w:val="00AA6AA7"/>
    <w:rsid w:val="00AB3617"/>
    <w:rsid w:val="00AB3E14"/>
    <w:rsid w:val="00AB590F"/>
    <w:rsid w:val="00AB6E44"/>
    <w:rsid w:val="00AB71E7"/>
    <w:rsid w:val="00AC0DBB"/>
    <w:rsid w:val="00AC1A1F"/>
    <w:rsid w:val="00AC1F6C"/>
    <w:rsid w:val="00AC2E24"/>
    <w:rsid w:val="00AC4031"/>
    <w:rsid w:val="00AC4C72"/>
    <w:rsid w:val="00AC53A7"/>
    <w:rsid w:val="00AC6489"/>
    <w:rsid w:val="00AC697B"/>
    <w:rsid w:val="00AD0E86"/>
    <w:rsid w:val="00AD1928"/>
    <w:rsid w:val="00AD2116"/>
    <w:rsid w:val="00AD246C"/>
    <w:rsid w:val="00AD44E7"/>
    <w:rsid w:val="00AD46B9"/>
    <w:rsid w:val="00AD5634"/>
    <w:rsid w:val="00AD60EA"/>
    <w:rsid w:val="00AD7C25"/>
    <w:rsid w:val="00AE07CA"/>
    <w:rsid w:val="00AE0C85"/>
    <w:rsid w:val="00AE2F94"/>
    <w:rsid w:val="00AE3983"/>
    <w:rsid w:val="00AE3ECF"/>
    <w:rsid w:val="00AE5DCF"/>
    <w:rsid w:val="00AE73F2"/>
    <w:rsid w:val="00AE75EB"/>
    <w:rsid w:val="00AF0059"/>
    <w:rsid w:val="00AF2AC3"/>
    <w:rsid w:val="00AF37E1"/>
    <w:rsid w:val="00AF3A22"/>
    <w:rsid w:val="00AF42C9"/>
    <w:rsid w:val="00AF546D"/>
    <w:rsid w:val="00AF6162"/>
    <w:rsid w:val="00B01EFE"/>
    <w:rsid w:val="00B02222"/>
    <w:rsid w:val="00B025DA"/>
    <w:rsid w:val="00B03BC8"/>
    <w:rsid w:val="00B0534F"/>
    <w:rsid w:val="00B06636"/>
    <w:rsid w:val="00B06BC8"/>
    <w:rsid w:val="00B06C7B"/>
    <w:rsid w:val="00B06FF8"/>
    <w:rsid w:val="00B07124"/>
    <w:rsid w:val="00B07294"/>
    <w:rsid w:val="00B07C46"/>
    <w:rsid w:val="00B103A0"/>
    <w:rsid w:val="00B1141D"/>
    <w:rsid w:val="00B11968"/>
    <w:rsid w:val="00B12A59"/>
    <w:rsid w:val="00B12FA6"/>
    <w:rsid w:val="00B13AF5"/>
    <w:rsid w:val="00B17E35"/>
    <w:rsid w:val="00B17F02"/>
    <w:rsid w:val="00B20C0A"/>
    <w:rsid w:val="00B2242B"/>
    <w:rsid w:val="00B22CF0"/>
    <w:rsid w:val="00B22D4C"/>
    <w:rsid w:val="00B2514D"/>
    <w:rsid w:val="00B268BF"/>
    <w:rsid w:val="00B26A3D"/>
    <w:rsid w:val="00B30650"/>
    <w:rsid w:val="00B3205C"/>
    <w:rsid w:val="00B33A2A"/>
    <w:rsid w:val="00B33ACB"/>
    <w:rsid w:val="00B3569E"/>
    <w:rsid w:val="00B35956"/>
    <w:rsid w:val="00B4014B"/>
    <w:rsid w:val="00B40734"/>
    <w:rsid w:val="00B42BF6"/>
    <w:rsid w:val="00B434D4"/>
    <w:rsid w:val="00B46A42"/>
    <w:rsid w:val="00B4710D"/>
    <w:rsid w:val="00B4755C"/>
    <w:rsid w:val="00B5179A"/>
    <w:rsid w:val="00B5186E"/>
    <w:rsid w:val="00B52307"/>
    <w:rsid w:val="00B52933"/>
    <w:rsid w:val="00B532E3"/>
    <w:rsid w:val="00B53595"/>
    <w:rsid w:val="00B53781"/>
    <w:rsid w:val="00B55346"/>
    <w:rsid w:val="00B558A3"/>
    <w:rsid w:val="00B60F9C"/>
    <w:rsid w:val="00B625A1"/>
    <w:rsid w:val="00B632A3"/>
    <w:rsid w:val="00B64088"/>
    <w:rsid w:val="00B6412B"/>
    <w:rsid w:val="00B64209"/>
    <w:rsid w:val="00B65194"/>
    <w:rsid w:val="00B65776"/>
    <w:rsid w:val="00B662C0"/>
    <w:rsid w:val="00B70349"/>
    <w:rsid w:val="00B7090B"/>
    <w:rsid w:val="00B70F01"/>
    <w:rsid w:val="00B71018"/>
    <w:rsid w:val="00B7311B"/>
    <w:rsid w:val="00B744CD"/>
    <w:rsid w:val="00B806DC"/>
    <w:rsid w:val="00B8200A"/>
    <w:rsid w:val="00B83DCD"/>
    <w:rsid w:val="00B85A30"/>
    <w:rsid w:val="00B85C94"/>
    <w:rsid w:val="00B861ED"/>
    <w:rsid w:val="00B867B1"/>
    <w:rsid w:val="00B86C45"/>
    <w:rsid w:val="00B87B5D"/>
    <w:rsid w:val="00B87D3E"/>
    <w:rsid w:val="00B90277"/>
    <w:rsid w:val="00B90885"/>
    <w:rsid w:val="00B908C2"/>
    <w:rsid w:val="00B91BAD"/>
    <w:rsid w:val="00B92D03"/>
    <w:rsid w:val="00B93EFB"/>
    <w:rsid w:val="00BA0DB5"/>
    <w:rsid w:val="00BA13FD"/>
    <w:rsid w:val="00BA379F"/>
    <w:rsid w:val="00BA4025"/>
    <w:rsid w:val="00BA63E4"/>
    <w:rsid w:val="00BA6BA0"/>
    <w:rsid w:val="00BA7E3E"/>
    <w:rsid w:val="00BB02AA"/>
    <w:rsid w:val="00BB0E5C"/>
    <w:rsid w:val="00BB1B09"/>
    <w:rsid w:val="00BB30A1"/>
    <w:rsid w:val="00BB3408"/>
    <w:rsid w:val="00BB5576"/>
    <w:rsid w:val="00BB5B60"/>
    <w:rsid w:val="00BB6C0B"/>
    <w:rsid w:val="00BB75E4"/>
    <w:rsid w:val="00BC0CE5"/>
    <w:rsid w:val="00BC2BE9"/>
    <w:rsid w:val="00BC717C"/>
    <w:rsid w:val="00BC72FA"/>
    <w:rsid w:val="00BC7C31"/>
    <w:rsid w:val="00BD18E7"/>
    <w:rsid w:val="00BD1AC6"/>
    <w:rsid w:val="00BD4A7D"/>
    <w:rsid w:val="00BD4D7D"/>
    <w:rsid w:val="00BD4FB9"/>
    <w:rsid w:val="00BD5393"/>
    <w:rsid w:val="00BD79C7"/>
    <w:rsid w:val="00BD7B0F"/>
    <w:rsid w:val="00BE2B0D"/>
    <w:rsid w:val="00BE58DC"/>
    <w:rsid w:val="00BF03A4"/>
    <w:rsid w:val="00BF0BE8"/>
    <w:rsid w:val="00BF0D33"/>
    <w:rsid w:val="00BF1093"/>
    <w:rsid w:val="00BF1B98"/>
    <w:rsid w:val="00BF1C48"/>
    <w:rsid w:val="00BF2CA0"/>
    <w:rsid w:val="00BF5152"/>
    <w:rsid w:val="00BF590E"/>
    <w:rsid w:val="00BF5BC0"/>
    <w:rsid w:val="00BF6A3F"/>
    <w:rsid w:val="00BF6F09"/>
    <w:rsid w:val="00BF795D"/>
    <w:rsid w:val="00BF7A65"/>
    <w:rsid w:val="00BF7C4D"/>
    <w:rsid w:val="00C01085"/>
    <w:rsid w:val="00C01857"/>
    <w:rsid w:val="00C01AE1"/>
    <w:rsid w:val="00C03393"/>
    <w:rsid w:val="00C04E96"/>
    <w:rsid w:val="00C1199A"/>
    <w:rsid w:val="00C11E77"/>
    <w:rsid w:val="00C128C8"/>
    <w:rsid w:val="00C138F5"/>
    <w:rsid w:val="00C13E5D"/>
    <w:rsid w:val="00C14837"/>
    <w:rsid w:val="00C17ACD"/>
    <w:rsid w:val="00C17FA4"/>
    <w:rsid w:val="00C2328E"/>
    <w:rsid w:val="00C25681"/>
    <w:rsid w:val="00C26915"/>
    <w:rsid w:val="00C27B1A"/>
    <w:rsid w:val="00C35AC8"/>
    <w:rsid w:val="00C36D85"/>
    <w:rsid w:val="00C36DFA"/>
    <w:rsid w:val="00C3706C"/>
    <w:rsid w:val="00C37337"/>
    <w:rsid w:val="00C37589"/>
    <w:rsid w:val="00C4068C"/>
    <w:rsid w:val="00C41020"/>
    <w:rsid w:val="00C41CC6"/>
    <w:rsid w:val="00C41D05"/>
    <w:rsid w:val="00C442B2"/>
    <w:rsid w:val="00C447E6"/>
    <w:rsid w:val="00C44B58"/>
    <w:rsid w:val="00C44E3F"/>
    <w:rsid w:val="00C46993"/>
    <w:rsid w:val="00C46E16"/>
    <w:rsid w:val="00C508F6"/>
    <w:rsid w:val="00C50CFC"/>
    <w:rsid w:val="00C51F1E"/>
    <w:rsid w:val="00C5236D"/>
    <w:rsid w:val="00C536FE"/>
    <w:rsid w:val="00C5457A"/>
    <w:rsid w:val="00C5686C"/>
    <w:rsid w:val="00C56AE7"/>
    <w:rsid w:val="00C609F8"/>
    <w:rsid w:val="00C61DF5"/>
    <w:rsid w:val="00C61EF4"/>
    <w:rsid w:val="00C62915"/>
    <w:rsid w:val="00C6425F"/>
    <w:rsid w:val="00C6456F"/>
    <w:rsid w:val="00C64619"/>
    <w:rsid w:val="00C64875"/>
    <w:rsid w:val="00C6492E"/>
    <w:rsid w:val="00C64ADD"/>
    <w:rsid w:val="00C64E17"/>
    <w:rsid w:val="00C6708C"/>
    <w:rsid w:val="00C67A7D"/>
    <w:rsid w:val="00C7160D"/>
    <w:rsid w:val="00C72C7B"/>
    <w:rsid w:val="00C73250"/>
    <w:rsid w:val="00C7357E"/>
    <w:rsid w:val="00C73CF2"/>
    <w:rsid w:val="00C73EE8"/>
    <w:rsid w:val="00C7509E"/>
    <w:rsid w:val="00C75210"/>
    <w:rsid w:val="00C75B2A"/>
    <w:rsid w:val="00C76306"/>
    <w:rsid w:val="00C77DE3"/>
    <w:rsid w:val="00C80260"/>
    <w:rsid w:val="00C82090"/>
    <w:rsid w:val="00C850BA"/>
    <w:rsid w:val="00C852B4"/>
    <w:rsid w:val="00C859B4"/>
    <w:rsid w:val="00C87D46"/>
    <w:rsid w:val="00C91208"/>
    <w:rsid w:val="00C91617"/>
    <w:rsid w:val="00C91E48"/>
    <w:rsid w:val="00C9683B"/>
    <w:rsid w:val="00C9697C"/>
    <w:rsid w:val="00CA097C"/>
    <w:rsid w:val="00CA1956"/>
    <w:rsid w:val="00CA1AA6"/>
    <w:rsid w:val="00CA25A3"/>
    <w:rsid w:val="00CA4909"/>
    <w:rsid w:val="00CA5920"/>
    <w:rsid w:val="00CA650C"/>
    <w:rsid w:val="00CA7546"/>
    <w:rsid w:val="00CB0A34"/>
    <w:rsid w:val="00CB1936"/>
    <w:rsid w:val="00CB2E45"/>
    <w:rsid w:val="00CB2EE8"/>
    <w:rsid w:val="00CB47A3"/>
    <w:rsid w:val="00CB4B04"/>
    <w:rsid w:val="00CB4B78"/>
    <w:rsid w:val="00CB57A0"/>
    <w:rsid w:val="00CC1502"/>
    <w:rsid w:val="00CC1B37"/>
    <w:rsid w:val="00CC3505"/>
    <w:rsid w:val="00CC528E"/>
    <w:rsid w:val="00CC5A46"/>
    <w:rsid w:val="00CC6C81"/>
    <w:rsid w:val="00CC773A"/>
    <w:rsid w:val="00CC7882"/>
    <w:rsid w:val="00CD0E86"/>
    <w:rsid w:val="00CD1A11"/>
    <w:rsid w:val="00CD2019"/>
    <w:rsid w:val="00CD2A3F"/>
    <w:rsid w:val="00CD3028"/>
    <w:rsid w:val="00CD52C5"/>
    <w:rsid w:val="00CD7CFC"/>
    <w:rsid w:val="00CE18B0"/>
    <w:rsid w:val="00CE3609"/>
    <w:rsid w:val="00CE3648"/>
    <w:rsid w:val="00CE42BB"/>
    <w:rsid w:val="00CE5E55"/>
    <w:rsid w:val="00CE5E66"/>
    <w:rsid w:val="00CE6BE1"/>
    <w:rsid w:val="00CE6D94"/>
    <w:rsid w:val="00CE6F5B"/>
    <w:rsid w:val="00CF01D6"/>
    <w:rsid w:val="00CF03B0"/>
    <w:rsid w:val="00CF044D"/>
    <w:rsid w:val="00CF15DE"/>
    <w:rsid w:val="00CF2BC2"/>
    <w:rsid w:val="00CF4A3D"/>
    <w:rsid w:val="00CF617C"/>
    <w:rsid w:val="00CF74E2"/>
    <w:rsid w:val="00CF7FBE"/>
    <w:rsid w:val="00D03913"/>
    <w:rsid w:val="00D04281"/>
    <w:rsid w:val="00D05E3F"/>
    <w:rsid w:val="00D0696A"/>
    <w:rsid w:val="00D07ABA"/>
    <w:rsid w:val="00D126B8"/>
    <w:rsid w:val="00D134B7"/>
    <w:rsid w:val="00D13EB7"/>
    <w:rsid w:val="00D145F9"/>
    <w:rsid w:val="00D14C92"/>
    <w:rsid w:val="00D1647D"/>
    <w:rsid w:val="00D17018"/>
    <w:rsid w:val="00D20E64"/>
    <w:rsid w:val="00D20F45"/>
    <w:rsid w:val="00D21BD9"/>
    <w:rsid w:val="00D23A4F"/>
    <w:rsid w:val="00D257C3"/>
    <w:rsid w:val="00D2599C"/>
    <w:rsid w:val="00D25DAA"/>
    <w:rsid w:val="00D30579"/>
    <w:rsid w:val="00D30B08"/>
    <w:rsid w:val="00D31511"/>
    <w:rsid w:val="00D31B88"/>
    <w:rsid w:val="00D352A0"/>
    <w:rsid w:val="00D40760"/>
    <w:rsid w:val="00D41CA1"/>
    <w:rsid w:val="00D426E5"/>
    <w:rsid w:val="00D42E0B"/>
    <w:rsid w:val="00D45ACD"/>
    <w:rsid w:val="00D508DA"/>
    <w:rsid w:val="00D50A94"/>
    <w:rsid w:val="00D51D39"/>
    <w:rsid w:val="00D51D61"/>
    <w:rsid w:val="00D52F1B"/>
    <w:rsid w:val="00D5379C"/>
    <w:rsid w:val="00D54D94"/>
    <w:rsid w:val="00D6198E"/>
    <w:rsid w:val="00D64BE0"/>
    <w:rsid w:val="00D64D32"/>
    <w:rsid w:val="00D650C8"/>
    <w:rsid w:val="00D660D5"/>
    <w:rsid w:val="00D71469"/>
    <w:rsid w:val="00D71999"/>
    <w:rsid w:val="00D71E3E"/>
    <w:rsid w:val="00D74329"/>
    <w:rsid w:val="00D76160"/>
    <w:rsid w:val="00D76C74"/>
    <w:rsid w:val="00D76E36"/>
    <w:rsid w:val="00D807C3"/>
    <w:rsid w:val="00D81A8F"/>
    <w:rsid w:val="00D81FC6"/>
    <w:rsid w:val="00D82640"/>
    <w:rsid w:val="00D8329A"/>
    <w:rsid w:val="00D84C89"/>
    <w:rsid w:val="00D856B2"/>
    <w:rsid w:val="00D85980"/>
    <w:rsid w:val="00D86B00"/>
    <w:rsid w:val="00D91BB6"/>
    <w:rsid w:val="00D92601"/>
    <w:rsid w:val="00D92A22"/>
    <w:rsid w:val="00D940CB"/>
    <w:rsid w:val="00D96669"/>
    <w:rsid w:val="00DA0C3B"/>
    <w:rsid w:val="00DA1BB2"/>
    <w:rsid w:val="00DA3297"/>
    <w:rsid w:val="00DA36DF"/>
    <w:rsid w:val="00DA63C3"/>
    <w:rsid w:val="00DB0898"/>
    <w:rsid w:val="00DB1439"/>
    <w:rsid w:val="00DB18C8"/>
    <w:rsid w:val="00DB1DB0"/>
    <w:rsid w:val="00DB24B6"/>
    <w:rsid w:val="00DB3CEB"/>
    <w:rsid w:val="00DB4044"/>
    <w:rsid w:val="00DB4E19"/>
    <w:rsid w:val="00DB4FD6"/>
    <w:rsid w:val="00DB5552"/>
    <w:rsid w:val="00DB7020"/>
    <w:rsid w:val="00DB70BF"/>
    <w:rsid w:val="00DC0C49"/>
    <w:rsid w:val="00DC261A"/>
    <w:rsid w:val="00DC3DC5"/>
    <w:rsid w:val="00DC4328"/>
    <w:rsid w:val="00DC4E0E"/>
    <w:rsid w:val="00DC5893"/>
    <w:rsid w:val="00DC5948"/>
    <w:rsid w:val="00DD095E"/>
    <w:rsid w:val="00DD1C0F"/>
    <w:rsid w:val="00DD29FF"/>
    <w:rsid w:val="00DD3B3F"/>
    <w:rsid w:val="00DD5728"/>
    <w:rsid w:val="00DD5A5F"/>
    <w:rsid w:val="00DD5E8E"/>
    <w:rsid w:val="00DE0BCD"/>
    <w:rsid w:val="00DE15C2"/>
    <w:rsid w:val="00DE1D2D"/>
    <w:rsid w:val="00DE1FC2"/>
    <w:rsid w:val="00DE2DF3"/>
    <w:rsid w:val="00DE35ED"/>
    <w:rsid w:val="00DE4C92"/>
    <w:rsid w:val="00DE747C"/>
    <w:rsid w:val="00DE7BE9"/>
    <w:rsid w:val="00DE7C42"/>
    <w:rsid w:val="00DF2091"/>
    <w:rsid w:val="00DF2B8B"/>
    <w:rsid w:val="00DF2E05"/>
    <w:rsid w:val="00DF318E"/>
    <w:rsid w:val="00DF3CD6"/>
    <w:rsid w:val="00DF505F"/>
    <w:rsid w:val="00DF6324"/>
    <w:rsid w:val="00DF6B72"/>
    <w:rsid w:val="00E00C0D"/>
    <w:rsid w:val="00E0208D"/>
    <w:rsid w:val="00E02982"/>
    <w:rsid w:val="00E038E6"/>
    <w:rsid w:val="00E04EF6"/>
    <w:rsid w:val="00E053E0"/>
    <w:rsid w:val="00E05AC4"/>
    <w:rsid w:val="00E05E02"/>
    <w:rsid w:val="00E06B9E"/>
    <w:rsid w:val="00E07E09"/>
    <w:rsid w:val="00E07E44"/>
    <w:rsid w:val="00E10865"/>
    <w:rsid w:val="00E10CF2"/>
    <w:rsid w:val="00E12875"/>
    <w:rsid w:val="00E14FE1"/>
    <w:rsid w:val="00E151E8"/>
    <w:rsid w:val="00E15B17"/>
    <w:rsid w:val="00E15BC7"/>
    <w:rsid w:val="00E163A1"/>
    <w:rsid w:val="00E1651C"/>
    <w:rsid w:val="00E2260B"/>
    <w:rsid w:val="00E232C4"/>
    <w:rsid w:val="00E243D1"/>
    <w:rsid w:val="00E24875"/>
    <w:rsid w:val="00E2552B"/>
    <w:rsid w:val="00E25925"/>
    <w:rsid w:val="00E267F5"/>
    <w:rsid w:val="00E27942"/>
    <w:rsid w:val="00E31117"/>
    <w:rsid w:val="00E32CF1"/>
    <w:rsid w:val="00E3458E"/>
    <w:rsid w:val="00E35BB9"/>
    <w:rsid w:val="00E40FC4"/>
    <w:rsid w:val="00E41211"/>
    <w:rsid w:val="00E42A75"/>
    <w:rsid w:val="00E42BD0"/>
    <w:rsid w:val="00E44122"/>
    <w:rsid w:val="00E44E2C"/>
    <w:rsid w:val="00E45837"/>
    <w:rsid w:val="00E45C3D"/>
    <w:rsid w:val="00E46738"/>
    <w:rsid w:val="00E50587"/>
    <w:rsid w:val="00E50A95"/>
    <w:rsid w:val="00E51071"/>
    <w:rsid w:val="00E510A4"/>
    <w:rsid w:val="00E53DA8"/>
    <w:rsid w:val="00E5437E"/>
    <w:rsid w:val="00E5464E"/>
    <w:rsid w:val="00E54AD2"/>
    <w:rsid w:val="00E55648"/>
    <w:rsid w:val="00E578D4"/>
    <w:rsid w:val="00E61B44"/>
    <w:rsid w:val="00E62B1D"/>
    <w:rsid w:val="00E63287"/>
    <w:rsid w:val="00E63634"/>
    <w:rsid w:val="00E6458E"/>
    <w:rsid w:val="00E64613"/>
    <w:rsid w:val="00E65DD1"/>
    <w:rsid w:val="00E66432"/>
    <w:rsid w:val="00E675AD"/>
    <w:rsid w:val="00E70270"/>
    <w:rsid w:val="00E70513"/>
    <w:rsid w:val="00E70DEB"/>
    <w:rsid w:val="00E73290"/>
    <w:rsid w:val="00E732A5"/>
    <w:rsid w:val="00E75E99"/>
    <w:rsid w:val="00E76540"/>
    <w:rsid w:val="00E77FCD"/>
    <w:rsid w:val="00E80092"/>
    <w:rsid w:val="00E8141C"/>
    <w:rsid w:val="00E85642"/>
    <w:rsid w:val="00E85A5B"/>
    <w:rsid w:val="00E86445"/>
    <w:rsid w:val="00E8691D"/>
    <w:rsid w:val="00E86D97"/>
    <w:rsid w:val="00E90B65"/>
    <w:rsid w:val="00E926E0"/>
    <w:rsid w:val="00E9384B"/>
    <w:rsid w:val="00E9447E"/>
    <w:rsid w:val="00E94B0A"/>
    <w:rsid w:val="00E9794C"/>
    <w:rsid w:val="00EA1365"/>
    <w:rsid w:val="00EA1B8F"/>
    <w:rsid w:val="00EA1F60"/>
    <w:rsid w:val="00EA1F94"/>
    <w:rsid w:val="00EA3529"/>
    <w:rsid w:val="00EA35D5"/>
    <w:rsid w:val="00EA4061"/>
    <w:rsid w:val="00EA44D3"/>
    <w:rsid w:val="00EA4863"/>
    <w:rsid w:val="00EA4A15"/>
    <w:rsid w:val="00EA4CC1"/>
    <w:rsid w:val="00EA5F76"/>
    <w:rsid w:val="00EA6F5A"/>
    <w:rsid w:val="00EA7784"/>
    <w:rsid w:val="00EB0409"/>
    <w:rsid w:val="00EB3B5E"/>
    <w:rsid w:val="00EB3BE0"/>
    <w:rsid w:val="00EB430C"/>
    <w:rsid w:val="00EB4DC3"/>
    <w:rsid w:val="00EB5156"/>
    <w:rsid w:val="00EB6DD0"/>
    <w:rsid w:val="00EC223B"/>
    <w:rsid w:val="00EC339F"/>
    <w:rsid w:val="00EC33BF"/>
    <w:rsid w:val="00EC4E51"/>
    <w:rsid w:val="00ED5895"/>
    <w:rsid w:val="00ED5AD3"/>
    <w:rsid w:val="00ED61F2"/>
    <w:rsid w:val="00EE2F5D"/>
    <w:rsid w:val="00EE4031"/>
    <w:rsid w:val="00EE4861"/>
    <w:rsid w:val="00EE5C5E"/>
    <w:rsid w:val="00EE6086"/>
    <w:rsid w:val="00EE6315"/>
    <w:rsid w:val="00EF053C"/>
    <w:rsid w:val="00EF13B7"/>
    <w:rsid w:val="00EF31A0"/>
    <w:rsid w:val="00EF68F4"/>
    <w:rsid w:val="00F0038C"/>
    <w:rsid w:val="00F01204"/>
    <w:rsid w:val="00F036BD"/>
    <w:rsid w:val="00F03D95"/>
    <w:rsid w:val="00F04C96"/>
    <w:rsid w:val="00F056B9"/>
    <w:rsid w:val="00F05C02"/>
    <w:rsid w:val="00F071E3"/>
    <w:rsid w:val="00F113AA"/>
    <w:rsid w:val="00F13770"/>
    <w:rsid w:val="00F14866"/>
    <w:rsid w:val="00F14A8C"/>
    <w:rsid w:val="00F14CFE"/>
    <w:rsid w:val="00F153DA"/>
    <w:rsid w:val="00F15B07"/>
    <w:rsid w:val="00F1693C"/>
    <w:rsid w:val="00F17242"/>
    <w:rsid w:val="00F2179C"/>
    <w:rsid w:val="00F23198"/>
    <w:rsid w:val="00F235A4"/>
    <w:rsid w:val="00F2528D"/>
    <w:rsid w:val="00F26716"/>
    <w:rsid w:val="00F27EE2"/>
    <w:rsid w:val="00F31475"/>
    <w:rsid w:val="00F31B4A"/>
    <w:rsid w:val="00F32C98"/>
    <w:rsid w:val="00F3359D"/>
    <w:rsid w:val="00F336B2"/>
    <w:rsid w:val="00F33B4F"/>
    <w:rsid w:val="00F36556"/>
    <w:rsid w:val="00F36E22"/>
    <w:rsid w:val="00F37DF2"/>
    <w:rsid w:val="00F41ECF"/>
    <w:rsid w:val="00F42B8B"/>
    <w:rsid w:val="00F44AE3"/>
    <w:rsid w:val="00F46022"/>
    <w:rsid w:val="00F46232"/>
    <w:rsid w:val="00F47FF5"/>
    <w:rsid w:val="00F530C1"/>
    <w:rsid w:val="00F5527C"/>
    <w:rsid w:val="00F56372"/>
    <w:rsid w:val="00F57033"/>
    <w:rsid w:val="00F60E66"/>
    <w:rsid w:val="00F61470"/>
    <w:rsid w:val="00F616EC"/>
    <w:rsid w:val="00F63AD0"/>
    <w:rsid w:val="00F659CE"/>
    <w:rsid w:val="00F66F31"/>
    <w:rsid w:val="00F70775"/>
    <w:rsid w:val="00F71588"/>
    <w:rsid w:val="00F7268F"/>
    <w:rsid w:val="00F767F5"/>
    <w:rsid w:val="00F8209F"/>
    <w:rsid w:val="00F82F41"/>
    <w:rsid w:val="00F83440"/>
    <w:rsid w:val="00F839A9"/>
    <w:rsid w:val="00F8402E"/>
    <w:rsid w:val="00F84CE1"/>
    <w:rsid w:val="00F84CF0"/>
    <w:rsid w:val="00F84F89"/>
    <w:rsid w:val="00F852E5"/>
    <w:rsid w:val="00F854EE"/>
    <w:rsid w:val="00F85FD1"/>
    <w:rsid w:val="00F86718"/>
    <w:rsid w:val="00F87E22"/>
    <w:rsid w:val="00F90398"/>
    <w:rsid w:val="00F90BA3"/>
    <w:rsid w:val="00F91771"/>
    <w:rsid w:val="00F91DAE"/>
    <w:rsid w:val="00F946B1"/>
    <w:rsid w:val="00F96359"/>
    <w:rsid w:val="00F965AC"/>
    <w:rsid w:val="00F97DDC"/>
    <w:rsid w:val="00FA5427"/>
    <w:rsid w:val="00FA684C"/>
    <w:rsid w:val="00FA6BA3"/>
    <w:rsid w:val="00FB00BF"/>
    <w:rsid w:val="00FB0AD1"/>
    <w:rsid w:val="00FB2F99"/>
    <w:rsid w:val="00FB325E"/>
    <w:rsid w:val="00FB4BC3"/>
    <w:rsid w:val="00FB66E6"/>
    <w:rsid w:val="00FC0290"/>
    <w:rsid w:val="00FC073A"/>
    <w:rsid w:val="00FC12D7"/>
    <w:rsid w:val="00FC17A9"/>
    <w:rsid w:val="00FC1C6D"/>
    <w:rsid w:val="00FC1D1F"/>
    <w:rsid w:val="00FC2670"/>
    <w:rsid w:val="00FC5325"/>
    <w:rsid w:val="00FC5E64"/>
    <w:rsid w:val="00FC6532"/>
    <w:rsid w:val="00FD00C9"/>
    <w:rsid w:val="00FD0387"/>
    <w:rsid w:val="00FD0D42"/>
    <w:rsid w:val="00FD113C"/>
    <w:rsid w:val="00FD13BB"/>
    <w:rsid w:val="00FD147B"/>
    <w:rsid w:val="00FD17A6"/>
    <w:rsid w:val="00FD29C0"/>
    <w:rsid w:val="00FD3155"/>
    <w:rsid w:val="00FD3B27"/>
    <w:rsid w:val="00FD3D69"/>
    <w:rsid w:val="00FD43F8"/>
    <w:rsid w:val="00FD5EDD"/>
    <w:rsid w:val="00FD68C6"/>
    <w:rsid w:val="00FD7C60"/>
    <w:rsid w:val="00FD7DD6"/>
    <w:rsid w:val="00FE0EFA"/>
    <w:rsid w:val="00FE15C0"/>
    <w:rsid w:val="00FE279C"/>
    <w:rsid w:val="00FE3BEB"/>
    <w:rsid w:val="00FE3DBD"/>
    <w:rsid w:val="00FE6662"/>
    <w:rsid w:val="00FE6F56"/>
    <w:rsid w:val="00FF08F6"/>
    <w:rsid w:val="00FF1197"/>
    <w:rsid w:val="00FF11FB"/>
    <w:rsid w:val="00FF1495"/>
    <w:rsid w:val="00FF178F"/>
    <w:rsid w:val="00FF263F"/>
    <w:rsid w:val="00FF2D2B"/>
    <w:rsid w:val="00FF3C3E"/>
    <w:rsid w:val="00FF5704"/>
    <w:rsid w:val="016022B4"/>
    <w:rsid w:val="017C011F"/>
    <w:rsid w:val="01B3161D"/>
    <w:rsid w:val="01EB5915"/>
    <w:rsid w:val="02182ED7"/>
    <w:rsid w:val="025D4D8E"/>
    <w:rsid w:val="02B45DAD"/>
    <w:rsid w:val="02B54D22"/>
    <w:rsid w:val="02DD5FF0"/>
    <w:rsid w:val="043843A1"/>
    <w:rsid w:val="044C50BA"/>
    <w:rsid w:val="04AA5E4E"/>
    <w:rsid w:val="04F82025"/>
    <w:rsid w:val="05312CB9"/>
    <w:rsid w:val="053F0F3C"/>
    <w:rsid w:val="067C20BB"/>
    <w:rsid w:val="06C80966"/>
    <w:rsid w:val="07AA3675"/>
    <w:rsid w:val="08693410"/>
    <w:rsid w:val="089745D6"/>
    <w:rsid w:val="08E84EF1"/>
    <w:rsid w:val="09412D13"/>
    <w:rsid w:val="0A8235E3"/>
    <w:rsid w:val="0ACF1886"/>
    <w:rsid w:val="0B4B60CB"/>
    <w:rsid w:val="0B8E420A"/>
    <w:rsid w:val="0BC23F01"/>
    <w:rsid w:val="0BFB0BB8"/>
    <w:rsid w:val="0C786F42"/>
    <w:rsid w:val="0D3306C3"/>
    <w:rsid w:val="0D990662"/>
    <w:rsid w:val="0EA855E3"/>
    <w:rsid w:val="0F3E7ED6"/>
    <w:rsid w:val="0F5F3AAE"/>
    <w:rsid w:val="0FB56CEA"/>
    <w:rsid w:val="0FCD4501"/>
    <w:rsid w:val="1045349C"/>
    <w:rsid w:val="10964F66"/>
    <w:rsid w:val="11811920"/>
    <w:rsid w:val="118D7F73"/>
    <w:rsid w:val="11EE5E19"/>
    <w:rsid w:val="1203041E"/>
    <w:rsid w:val="12323B41"/>
    <w:rsid w:val="12363F6F"/>
    <w:rsid w:val="12601C36"/>
    <w:rsid w:val="128F01D6"/>
    <w:rsid w:val="130354DD"/>
    <w:rsid w:val="137C2A53"/>
    <w:rsid w:val="145412D3"/>
    <w:rsid w:val="1474109B"/>
    <w:rsid w:val="14BA74DA"/>
    <w:rsid w:val="152E66D7"/>
    <w:rsid w:val="15746553"/>
    <w:rsid w:val="15CF7F33"/>
    <w:rsid w:val="16322ABD"/>
    <w:rsid w:val="176435AF"/>
    <w:rsid w:val="179B3F36"/>
    <w:rsid w:val="17A55F44"/>
    <w:rsid w:val="18031D95"/>
    <w:rsid w:val="18226406"/>
    <w:rsid w:val="18480AED"/>
    <w:rsid w:val="18F56038"/>
    <w:rsid w:val="19812123"/>
    <w:rsid w:val="19AA4271"/>
    <w:rsid w:val="1A632C0C"/>
    <w:rsid w:val="1AA9178E"/>
    <w:rsid w:val="1BA60B00"/>
    <w:rsid w:val="1BB85CB8"/>
    <w:rsid w:val="1BC3390D"/>
    <w:rsid w:val="1BE4077B"/>
    <w:rsid w:val="1C83336F"/>
    <w:rsid w:val="1D302DD4"/>
    <w:rsid w:val="1D9A259A"/>
    <w:rsid w:val="1F8D1B58"/>
    <w:rsid w:val="1FA43022"/>
    <w:rsid w:val="20C40840"/>
    <w:rsid w:val="210F3827"/>
    <w:rsid w:val="21C3522A"/>
    <w:rsid w:val="21FA1C76"/>
    <w:rsid w:val="22206440"/>
    <w:rsid w:val="22342CF6"/>
    <w:rsid w:val="224A0A33"/>
    <w:rsid w:val="227476F2"/>
    <w:rsid w:val="228B5F10"/>
    <w:rsid w:val="22C95DFC"/>
    <w:rsid w:val="22CF384A"/>
    <w:rsid w:val="24523BCF"/>
    <w:rsid w:val="259F4BF2"/>
    <w:rsid w:val="26634398"/>
    <w:rsid w:val="26BD3642"/>
    <w:rsid w:val="26E946A3"/>
    <w:rsid w:val="276F67FC"/>
    <w:rsid w:val="295D07F2"/>
    <w:rsid w:val="29F35717"/>
    <w:rsid w:val="2A3458EC"/>
    <w:rsid w:val="2AC670C5"/>
    <w:rsid w:val="2BE55033"/>
    <w:rsid w:val="2C1D0F66"/>
    <w:rsid w:val="2D972170"/>
    <w:rsid w:val="2E2F35C9"/>
    <w:rsid w:val="2EFF4953"/>
    <w:rsid w:val="2FA35B64"/>
    <w:rsid w:val="300A0D8D"/>
    <w:rsid w:val="30476B7D"/>
    <w:rsid w:val="31263B4A"/>
    <w:rsid w:val="33A256C8"/>
    <w:rsid w:val="34A86C7B"/>
    <w:rsid w:val="3517619E"/>
    <w:rsid w:val="35E2272C"/>
    <w:rsid w:val="36887AF4"/>
    <w:rsid w:val="3784323A"/>
    <w:rsid w:val="38517759"/>
    <w:rsid w:val="3856040A"/>
    <w:rsid w:val="38F463A1"/>
    <w:rsid w:val="396D4258"/>
    <w:rsid w:val="39FE44D0"/>
    <w:rsid w:val="3B7C7282"/>
    <w:rsid w:val="3C956DB4"/>
    <w:rsid w:val="3CB60D47"/>
    <w:rsid w:val="3CF00B88"/>
    <w:rsid w:val="3D55126E"/>
    <w:rsid w:val="3D762284"/>
    <w:rsid w:val="3DF850D2"/>
    <w:rsid w:val="3E7B7FE0"/>
    <w:rsid w:val="3E997B5D"/>
    <w:rsid w:val="3EF7024F"/>
    <w:rsid w:val="3FD0375B"/>
    <w:rsid w:val="3FF25BE3"/>
    <w:rsid w:val="4001677D"/>
    <w:rsid w:val="403C6EEE"/>
    <w:rsid w:val="40503261"/>
    <w:rsid w:val="40524E9C"/>
    <w:rsid w:val="40706E2B"/>
    <w:rsid w:val="411512B3"/>
    <w:rsid w:val="414F0E71"/>
    <w:rsid w:val="41710606"/>
    <w:rsid w:val="41B46ADA"/>
    <w:rsid w:val="41BA6182"/>
    <w:rsid w:val="42AD7F63"/>
    <w:rsid w:val="43273C06"/>
    <w:rsid w:val="436E7263"/>
    <w:rsid w:val="43B703F2"/>
    <w:rsid w:val="43CC2F6A"/>
    <w:rsid w:val="43DF4E23"/>
    <w:rsid w:val="451F1218"/>
    <w:rsid w:val="452A2CE6"/>
    <w:rsid w:val="45627AAD"/>
    <w:rsid w:val="457D012D"/>
    <w:rsid w:val="457E510C"/>
    <w:rsid w:val="45FD27A1"/>
    <w:rsid w:val="48666EBE"/>
    <w:rsid w:val="48841B50"/>
    <w:rsid w:val="48B54D35"/>
    <w:rsid w:val="4AC9433B"/>
    <w:rsid w:val="4BBD535F"/>
    <w:rsid w:val="4BD85A65"/>
    <w:rsid w:val="4C013C65"/>
    <w:rsid w:val="4C8156FE"/>
    <w:rsid w:val="4DE329CA"/>
    <w:rsid w:val="51392C27"/>
    <w:rsid w:val="5180629F"/>
    <w:rsid w:val="5221410F"/>
    <w:rsid w:val="52A25FA4"/>
    <w:rsid w:val="52E0364E"/>
    <w:rsid w:val="530B7DEB"/>
    <w:rsid w:val="532B74AA"/>
    <w:rsid w:val="535C2DC0"/>
    <w:rsid w:val="546E26C6"/>
    <w:rsid w:val="55097A7F"/>
    <w:rsid w:val="566A08F3"/>
    <w:rsid w:val="5698667B"/>
    <w:rsid w:val="57215678"/>
    <w:rsid w:val="57B13423"/>
    <w:rsid w:val="59782984"/>
    <w:rsid w:val="59F64346"/>
    <w:rsid w:val="5A07278A"/>
    <w:rsid w:val="5A3D61AC"/>
    <w:rsid w:val="5B1F380C"/>
    <w:rsid w:val="5B6836FC"/>
    <w:rsid w:val="5B883203"/>
    <w:rsid w:val="5C2E710D"/>
    <w:rsid w:val="5DB25F7C"/>
    <w:rsid w:val="5E3D2C0C"/>
    <w:rsid w:val="5E524C74"/>
    <w:rsid w:val="5E61684F"/>
    <w:rsid w:val="5EF0509F"/>
    <w:rsid w:val="5F68269D"/>
    <w:rsid w:val="60422DD1"/>
    <w:rsid w:val="60583D40"/>
    <w:rsid w:val="608E7761"/>
    <w:rsid w:val="60BB6E78"/>
    <w:rsid w:val="61D54CF3"/>
    <w:rsid w:val="63F51C30"/>
    <w:rsid w:val="63F70003"/>
    <w:rsid w:val="63FA10AA"/>
    <w:rsid w:val="644236D4"/>
    <w:rsid w:val="646A0F46"/>
    <w:rsid w:val="648435DF"/>
    <w:rsid w:val="649B308B"/>
    <w:rsid w:val="65312694"/>
    <w:rsid w:val="663B0CDB"/>
    <w:rsid w:val="66556A58"/>
    <w:rsid w:val="66FB505F"/>
    <w:rsid w:val="67B00433"/>
    <w:rsid w:val="687F330A"/>
    <w:rsid w:val="6882447F"/>
    <w:rsid w:val="68874E63"/>
    <w:rsid w:val="68A42B96"/>
    <w:rsid w:val="69392062"/>
    <w:rsid w:val="6A2E73C3"/>
    <w:rsid w:val="6B9132BE"/>
    <w:rsid w:val="6BFA7885"/>
    <w:rsid w:val="6E307DFF"/>
    <w:rsid w:val="6F494779"/>
    <w:rsid w:val="6F5E6124"/>
    <w:rsid w:val="6F70246F"/>
    <w:rsid w:val="6F9577F8"/>
    <w:rsid w:val="6FD94BE5"/>
    <w:rsid w:val="70D0658A"/>
    <w:rsid w:val="716530FF"/>
    <w:rsid w:val="72917B3F"/>
    <w:rsid w:val="73451141"/>
    <w:rsid w:val="735842EF"/>
    <w:rsid w:val="73F1457A"/>
    <w:rsid w:val="74521887"/>
    <w:rsid w:val="74A12766"/>
    <w:rsid w:val="76452346"/>
    <w:rsid w:val="76C75323"/>
    <w:rsid w:val="76F705B1"/>
    <w:rsid w:val="780E734E"/>
    <w:rsid w:val="786E4382"/>
    <w:rsid w:val="78EF2A09"/>
    <w:rsid w:val="7A40506E"/>
    <w:rsid w:val="7C1853B7"/>
    <w:rsid w:val="7D6E320A"/>
    <w:rsid w:val="7E2272E3"/>
    <w:rsid w:val="7E816B6D"/>
    <w:rsid w:val="7EE73615"/>
    <w:rsid w:val="7F8976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qFormat="1"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5"/>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6"/>
    <w:qFormat/>
    <w:uiPriority w:val="9"/>
    <w:pPr>
      <w:widowControl/>
      <w:spacing w:before="100" w:beforeAutospacing="1" w:after="100" w:afterAutospacing="1"/>
      <w:jc w:val="left"/>
      <w:outlineLvl w:val="1"/>
    </w:pPr>
    <w:rPr>
      <w:rFonts w:ascii="宋体" w:hAnsi="宋体" w:cs="宋体"/>
      <w:b/>
      <w:bCs/>
      <w:kern w:val="0"/>
      <w:sz w:val="36"/>
      <w:szCs w:val="36"/>
    </w:rPr>
  </w:style>
  <w:style w:type="paragraph" w:styleId="4">
    <w:name w:val="heading 3"/>
    <w:basedOn w:val="1"/>
    <w:next w:val="1"/>
    <w:link w:val="27"/>
    <w:unhideWhenUsed/>
    <w:qFormat/>
    <w:uiPriority w:val="9"/>
    <w:pPr>
      <w:keepNext/>
      <w:keepLines/>
      <w:spacing w:before="260" w:after="260" w:line="416" w:lineRule="auto"/>
      <w:outlineLvl w:val="2"/>
    </w:pPr>
    <w:rPr>
      <w:rFonts w:asciiTheme="minorHAnsi" w:hAnsiTheme="minorHAnsi" w:eastAsiaTheme="minorEastAsia" w:cstheme="minorBidi"/>
      <w:b/>
      <w:bCs/>
      <w:sz w:val="32"/>
      <w:szCs w:val="32"/>
    </w:rPr>
  </w:style>
  <w:style w:type="paragraph" w:styleId="5">
    <w:name w:val="heading 4"/>
    <w:basedOn w:val="1"/>
    <w:next w:val="1"/>
    <w:link w:val="28"/>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29"/>
    <w:semiHidden/>
    <w:unhideWhenUsed/>
    <w:qFormat/>
    <w:uiPriority w:val="9"/>
    <w:pPr>
      <w:keepNext/>
      <w:keepLines/>
      <w:spacing w:before="280" w:after="290" w:line="376" w:lineRule="auto"/>
      <w:outlineLvl w:val="4"/>
    </w:pPr>
    <w:rPr>
      <w:rFonts w:asciiTheme="minorHAnsi" w:hAnsiTheme="minorHAnsi" w:eastAsiaTheme="minorEastAsia" w:cstheme="minorBidi"/>
      <w:b/>
      <w:bCs/>
      <w:sz w:val="28"/>
      <w:szCs w:val="28"/>
    </w:rPr>
  </w:style>
  <w:style w:type="paragraph" w:styleId="7">
    <w:name w:val="heading 6"/>
    <w:basedOn w:val="1"/>
    <w:next w:val="1"/>
    <w:link w:val="30"/>
    <w:semiHidden/>
    <w:unhideWhenUsed/>
    <w:qFormat/>
    <w:uiPriority w:val="9"/>
    <w:pPr>
      <w:keepNext/>
      <w:keepLines/>
      <w:spacing w:before="240" w:after="64" w:line="320" w:lineRule="auto"/>
      <w:outlineLvl w:val="5"/>
    </w:pPr>
    <w:rPr>
      <w:rFonts w:asciiTheme="majorHAnsi" w:hAnsiTheme="majorHAnsi" w:eastAsiaTheme="majorEastAsia" w:cstheme="majorBidi"/>
      <w:b/>
      <w:bCs/>
      <w:sz w:val="24"/>
    </w:rPr>
  </w:style>
  <w:style w:type="character" w:default="1" w:styleId="20">
    <w:name w:val="Default Paragraph Font"/>
    <w:semiHidden/>
    <w:unhideWhenUsed/>
    <w:qFormat/>
    <w:uiPriority w:val="1"/>
  </w:style>
  <w:style w:type="table" w:default="1" w:styleId="18">
    <w:name w:val="Normal Table"/>
    <w:semiHidden/>
    <w:unhideWhenUsed/>
    <w:uiPriority w:val="99"/>
    <w:tblPr>
      <w:tblCellMar>
        <w:top w:w="0" w:type="dxa"/>
        <w:left w:w="108" w:type="dxa"/>
        <w:bottom w:w="0" w:type="dxa"/>
        <w:right w:w="108" w:type="dxa"/>
      </w:tblCellMar>
    </w:tblPr>
  </w:style>
  <w:style w:type="paragraph" w:styleId="8">
    <w:name w:val="Body Text"/>
    <w:basedOn w:val="1"/>
    <w:link w:val="98"/>
    <w:qFormat/>
    <w:uiPriority w:val="1"/>
    <w:pPr>
      <w:autoSpaceDE w:val="0"/>
      <w:autoSpaceDN w:val="0"/>
      <w:jc w:val="left"/>
    </w:pPr>
    <w:rPr>
      <w:rFonts w:eastAsia="Times New Roman"/>
      <w:kern w:val="0"/>
      <w:sz w:val="17"/>
      <w:szCs w:val="17"/>
      <w:lang w:eastAsia="en-US" w:bidi="en-US"/>
    </w:rPr>
  </w:style>
  <w:style w:type="paragraph" w:styleId="9">
    <w:name w:val="Date"/>
    <w:basedOn w:val="1"/>
    <w:next w:val="1"/>
    <w:link w:val="78"/>
    <w:semiHidden/>
    <w:unhideWhenUsed/>
    <w:qFormat/>
    <w:uiPriority w:val="99"/>
    <w:pPr>
      <w:ind w:left="100" w:leftChars="2500"/>
    </w:pPr>
  </w:style>
  <w:style w:type="paragraph" w:styleId="10">
    <w:name w:val="Body Text Indent 2"/>
    <w:basedOn w:val="1"/>
    <w:link w:val="194"/>
    <w:semiHidden/>
    <w:unhideWhenUsed/>
    <w:qFormat/>
    <w:uiPriority w:val="99"/>
    <w:pPr>
      <w:spacing w:after="120" w:line="480" w:lineRule="auto"/>
      <w:ind w:left="420" w:leftChars="200"/>
    </w:pPr>
  </w:style>
  <w:style w:type="paragraph" w:styleId="11">
    <w:name w:val="Balloon Text"/>
    <w:basedOn w:val="1"/>
    <w:link w:val="33"/>
    <w:semiHidden/>
    <w:unhideWhenUsed/>
    <w:qFormat/>
    <w:uiPriority w:val="99"/>
    <w:rPr>
      <w:sz w:val="18"/>
      <w:szCs w:val="18"/>
    </w:rPr>
  </w:style>
  <w:style w:type="paragraph" w:styleId="12">
    <w:name w:val="footer"/>
    <w:basedOn w:val="1"/>
    <w:link w:val="32"/>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13">
    <w:name w:val="header"/>
    <w:basedOn w:val="1"/>
    <w:link w:val="31"/>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14">
    <w:name w:val="toc 1"/>
    <w:basedOn w:val="1"/>
    <w:next w:val="1"/>
    <w:autoRedefine/>
    <w:unhideWhenUsed/>
    <w:qFormat/>
    <w:uiPriority w:val="39"/>
  </w:style>
  <w:style w:type="paragraph" w:styleId="15">
    <w:name w:val="toc 2"/>
    <w:basedOn w:val="1"/>
    <w:next w:val="1"/>
    <w:autoRedefine/>
    <w:unhideWhenUsed/>
    <w:qFormat/>
    <w:uiPriority w:val="39"/>
    <w:pPr>
      <w:tabs>
        <w:tab w:val="right" w:leader="dot" w:pos="9402"/>
      </w:tabs>
      <w:ind w:left="420" w:leftChars="200"/>
    </w:pPr>
    <w:rPr>
      <w:rFonts w:eastAsia="黑体"/>
    </w:rPr>
  </w:style>
  <w:style w:type="paragraph" w:styleId="16">
    <w:name w:val="HTML Preformatted"/>
    <w:basedOn w:val="1"/>
    <w:link w:val="195"/>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s="Courier New"/>
      <w:color w:val="000000"/>
      <w:kern w:val="0"/>
      <w:sz w:val="20"/>
      <w:szCs w:val="20"/>
    </w:rPr>
  </w:style>
  <w:style w:type="paragraph" w:styleId="17">
    <w:name w:val="Normal (Web)"/>
    <w:basedOn w:val="1"/>
    <w:unhideWhenUsed/>
    <w:qFormat/>
    <w:uiPriority w:val="99"/>
    <w:pPr>
      <w:widowControl/>
      <w:spacing w:before="100" w:beforeAutospacing="1" w:after="100" w:afterAutospacing="1"/>
      <w:jc w:val="left"/>
    </w:pPr>
    <w:rPr>
      <w:rFonts w:ascii="宋体" w:hAnsi="宋体" w:cs="宋体"/>
      <w:kern w:val="0"/>
      <w:sz w:val="24"/>
    </w:rPr>
  </w:style>
  <w:style w:type="table" w:styleId="19">
    <w:name w:val="Table Grid"/>
    <w:basedOn w:val="1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Strong"/>
    <w:basedOn w:val="20"/>
    <w:qFormat/>
    <w:uiPriority w:val="22"/>
    <w:rPr>
      <w:b/>
      <w:bCs/>
    </w:rPr>
  </w:style>
  <w:style w:type="character" w:styleId="22">
    <w:name w:val="FollowedHyperlink"/>
    <w:basedOn w:val="20"/>
    <w:semiHidden/>
    <w:unhideWhenUsed/>
    <w:qFormat/>
    <w:uiPriority w:val="99"/>
    <w:rPr>
      <w:color w:val="800080"/>
      <w:u w:val="single"/>
    </w:rPr>
  </w:style>
  <w:style w:type="character" w:styleId="23">
    <w:name w:val="Emphasis"/>
    <w:basedOn w:val="20"/>
    <w:qFormat/>
    <w:uiPriority w:val="20"/>
    <w:rPr>
      <w:i/>
      <w:iCs/>
    </w:rPr>
  </w:style>
  <w:style w:type="character" w:styleId="24">
    <w:name w:val="Hyperlink"/>
    <w:basedOn w:val="20"/>
    <w:unhideWhenUsed/>
    <w:qFormat/>
    <w:uiPriority w:val="99"/>
    <w:rPr>
      <w:color w:val="0000FF"/>
      <w:u w:val="single"/>
    </w:rPr>
  </w:style>
  <w:style w:type="character" w:customStyle="1" w:styleId="25">
    <w:name w:val="标题 1 字符"/>
    <w:basedOn w:val="20"/>
    <w:link w:val="2"/>
    <w:qFormat/>
    <w:uiPriority w:val="9"/>
    <w:rPr>
      <w:rFonts w:ascii="Times New Roman" w:hAnsi="Times New Roman" w:eastAsia="宋体" w:cs="Times New Roman"/>
      <w:b/>
      <w:bCs/>
      <w:kern w:val="44"/>
      <w:sz w:val="44"/>
      <w:szCs w:val="44"/>
    </w:rPr>
  </w:style>
  <w:style w:type="character" w:customStyle="1" w:styleId="26">
    <w:name w:val="标题 2 字符"/>
    <w:basedOn w:val="20"/>
    <w:link w:val="3"/>
    <w:qFormat/>
    <w:uiPriority w:val="9"/>
    <w:rPr>
      <w:rFonts w:ascii="宋体" w:hAnsi="宋体" w:eastAsia="宋体" w:cs="宋体"/>
      <w:b/>
      <w:bCs/>
      <w:kern w:val="0"/>
      <w:sz w:val="36"/>
      <w:szCs w:val="36"/>
    </w:rPr>
  </w:style>
  <w:style w:type="character" w:customStyle="1" w:styleId="27">
    <w:name w:val="标题 3 字符"/>
    <w:basedOn w:val="20"/>
    <w:link w:val="4"/>
    <w:qFormat/>
    <w:uiPriority w:val="9"/>
    <w:rPr>
      <w:b/>
      <w:bCs/>
      <w:sz w:val="32"/>
      <w:szCs w:val="32"/>
    </w:rPr>
  </w:style>
  <w:style w:type="character" w:customStyle="1" w:styleId="28">
    <w:name w:val="标题 4 字符"/>
    <w:basedOn w:val="20"/>
    <w:link w:val="5"/>
    <w:qFormat/>
    <w:uiPriority w:val="9"/>
    <w:rPr>
      <w:rFonts w:asciiTheme="majorHAnsi" w:hAnsiTheme="majorHAnsi" w:eastAsiaTheme="majorEastAsia" w:cstheme="majorBidi"/>
      <w:b/>
      <w:bCs/>
      <w:sz w:val="28"/>
      <w:szCs w:val="28"/>
    </w:rPr>
  </w:style>
  <w:style w:type="character" w:customStyle="1" w:styleId="29">
    <w:name w:val="标题 5 字符"/>
    <w:basedOn w:val="20"/>
    <w:link w:val="6"/>
    <w:semiHidden/>
    <w:qFormat/>
    <w:uiPriority w:val="9"/>
    <w:rPr>
      <w:b/>
      <w:bCs/>
      <w:sz w:val="28"/>
      <w:szCs w:val="28"/>
    </w:rPr>
  </w:style>
  <w:style w:type="character" w:customStyle="1" w:styleId="30">
    <w:name w:val="标题 6 字符"/>
    <w:basedOn w:val="20"/>
    <w:link w:val="7"/>
    <w:semiHidden/>
    <w:qFormat/>
    <w:uiPriority w:val="9"/>
    <w:rPr>
      <w:rFonts w:asciiTheme="majorHAnsi" w:hAnsiTheme="majorHAnsi" w:eastAsiaTheme="majorEastAsia" w:cstheme="majorBidi"/>
      <w:b/>
      <w:bCs/>
      <w:sz w:val="24"/>
      <w:szCs w:val="24"/>
    </w:rPr>
  </w:style>
  <w:style w:type="character" w:customStyle="1" w:styleId="31">
    <w:name w:val="页眉 字符"/>
    <w:basedOn w:val="20"/>
    <w:link w:val="13"/>
    <w:qFormat/>
    <w:uiPriority w:val="99"/>
    <w:rPr>
      <w:sz w:val="18"/>
      <w:szCs w:val="18"/>
    </w:rPr>
  </w:style>
  <w:style w:type="character" w:customStyle="1" w:styleId="32">
    <w:name w:val="页脚 字符"/>
    <w:basedOn w:val="20"/>
    <w:link w:val="12"/>
    <w:qFormat/>
    <w:uiPriority w:val="99"/>
    <w:rPr>
      <w:sz w:val="18"/>
      <w:szCs w:val="18"/>
    </w:rPr>
  </w:style>
  <w:style w:type="character" w:customStyle="1" w:styleId="33">
    <w:name w:val="批注框文本 字符"/>
    <w:basedOn w:val="20"/>
    <w:link w:val="11"/>
    <w:semiHidden/>
    <w:qFormat/>
    <w:uiPriority w:val="99"/>
    <w:rPr>
      <w:rFonts w:ascii="Times New Roman" w:hAnsi="Times New Roman" w:eastAsia="宋体" w:cs="Times New Roman"/>
      <w:sz w:val="18"/>
      <w:szCs w:val="18"/>
    </w:rPr>
  </w:style>
  <w:style w:type="character" w:customStyle="1" w:styleId="34">
    <w:name w:val="apple-converted-space"/>
    <w:basedOn w:val="20"/>
    <w:qFormat/>
    <w:uiPriority w:val="0"/>
  </w:style>
  <w:style w:type="paragraph" w:styleId="35">
    <w:name w:val="List Paragraph"/>
    <w:basedOn w:val="1"/>
    <w:qFormat/>
    <w:uiPriority w:val="34"/>
    <w:pPr>
      <w:ind w:firstLine="420" w:firstLineChars="200"/>
    </w:pPr>
    <w:rPr>
      <w:rFonts w:asciiTheme="minorHAnsi" w:hAnsiTheme="minorHAnsi" w:eastAsiaTheme="minorEastAsia" w:cstheme="minorBidi"/>
      <w:szCs w:val="22"/>
    </w:rPr>
  </w:style>
  <w:style w:type="paragraph" w:customStyle="1" w:styleId="36">
    <w:name w:val="article-author"/>
    <w:basedOn w:val="1"/>
    <w:qFormat/>
    <w:uiPriority w:val="0"/>
    <w:pPr>
      <w:widowControl/>
      <w:spacing w:before="100" w:beforeAutospacing="1" w:after="100" w:afterAutospacing="1"/>
      <w:jc w:val="left"/>
    </w:pPr>
    <w:rPr>
      <w:rFonts w:ascii="宋体" w:hAnsi="宋体" w:cs="宋体"/>
      <w:kern w:val="0"/>
      <w:sz w:val="24"/>
    </w:rPr>
  </w:style>
  <w:style w:type="paragraph" w:customStyle="1" w:styleId="37">
    <w:name w:val="article-info-en"/>
    <w:basedOn w:val="1"/>
    <w:qFormat/>
    <w:uiPriority w:val="0"/>
    <w:pPr>
      <w:widowControl/>
      <w:spacing w:before="100" w:beforeAutospacing="1" w:after="100" w:afterAutospacing="1"/>
      <w:jc w:val="left"/>
    </w:pPr>
    <w:rPr>
      <w:rFonts w:ascii="宋体" w:hAnsi="宋体" w:cs="宋体"/>
      <w:kern w:val="0"/>
      <w:sz w:val="24"/>
    </w:rPr>
  </w:style>
  <w:style w:type="character" w:customStyle="1" w:styleId="38">
    <w:name w:val="xref"/>
    <w:basedOn w:val="20"/>
    <w:qFormat/>
    <w:uiPriority w:val="0"/>
  </w:style>
  <w:style w:type="character" w:customStyle="1" w:styleId="39">
    <w:name w:val="sec-title"/>
    <w:basedOn w:val="20"/>
    <w:qFormat/>
    <w:uiPriority w:val="0"/>
  </w:style>
  <w:style w:type="character" w:customStyle="1" w:styleId="40">
    <w:name w:val="tabletext"/>
    <w:basedOn w:val="20"/>
    <w:qFormat/>
    <w:uiPriority w:val="0"/>
  </w:style>
  <w:style w:type="character" w:customStyle="1" w:styleId="41">
    <w:name w:val="figtext"/>
    <w:basedOn w:val="20"/>
    <w:qFormat/>
    <w:uiPriority w:val="0"/>
  </w:style>
  <w:style w:type="paragraph" w:customStyle="1" w:styleId="42">
    <w:name w:val="img_tit"/>
    <w:basedOn w:val="1"/>
    <w:qFormat/>
    <w:uiPriority w:val="0"/>
    <w:pPr>
      <w:widowControl/>
      <w:spacing w:before="100" w:beforeAutospacing="1" w:after="100" w:afterAutospacing="1"/>
      <w:jc w:val="left"/>
    </w:pPr>
    <w:rPr>
      <w:rFonts w:ascii="宋体" w:hAnsi="宋体" w:cs="宋体"/>
      <w:kern w:val="0"/>
      <w:sz w:val="24"/>
    </w:rPr>
  </w:style>
  <w:style w:type="paragraph" w:customStyle="1" w:styleId="43">
    <w:name w:val="img_note"/>
    <w:basedOn w:val="1"/>
    <w:qFormat/>
    <w:uiPriority w:val="0"/>
    <w:pPr>
      <w:widowControl/>
      <w:spacing w:before="100" w:beforeAutospacing="1" w:after="100" w:afterAutospacing="1"/>
      <w:jc w:val="left"/>
    </w:pPr>
    <w:rPr>
      <w:rFonts w:ascii="宋体" w:hAnsi="宋体" w:cs="宋体"/>
      <w:kern w:val="0"/>
      <w:sz w:val="24"/>
    </w:rPr>
  </w:style>
  <w:style w:type="character" w:customStyle="1" w:styleId="44">
    <w:name w:val="rich_media_meta"/>
    <w:basedOn w:val="20"/>
    <w:qFormat/>
    <w:uiPriority w:val="0"/>
  </w:style>
  <w:style w:type="character" w:customStyle="1" w:styleId="45">
    <w:name w:val="keys"/>
    <w:basedOn w:val="20"/>
    <w:qFormat/>
    <w:uiPriority w:val="0"/>
  </w:style>
  <w:style w:type="character" w:customStyle="1" w:styleId="46">
    <w:name w:val="续段落 Char"/>
    <w:link w:val="47"/>
    <w:qFormat/>
    <w:uiPriority w:val="0"/>
    <w:rPr>
      <w:rFonts w:eastAsia="仿宋_GB2312"/>
      <w:color w:val="000000"/>
      <w:sz w:val="28"/>
      <w:szCs w:val="28"/>
    </w:rPr>
  </w:style>
  <w:style w:type="paragraph" w:customStyle="1" w:styleId="47">
    <w:name w:val="续段落"/>
    <w:basedOn w:val="1"/>
    <w:link w:val="46"/>
    <w:qFormat/>
    <w:uiPriority w:val="0"/>
    <w:pPr>
      <w:spacing w:line="500" w:lineRule="exact"/>
      <w:ind w:firstLine="561"/>
    </w:pPr>
    <w:rPr>
      <w:rFonts w:eastAsia="仿宋_GB2312" w:asciiTheme="minorHAnsi" w:hAnsiTheme="minorHAnsi" w:cstheme="minorBidi"/>
      <w:color w:val="000000"/>
      <w:sz w:val="28"/>
      <w:szCs w:val="28"/>
    </w:rPr>
  </w:style>
  <w:style w:type="character" w:customStyle="1" w:styleId="48">
    <w:name w:val="key_title"/>
    <w:basedOn w:val="20"/>
    <w:qFormat/>
    <w:uiPriority w:val="0"/>
  </w:style>
  <w:style w:type="character" w:customStyle="1" w:styleId="49">
    <w:name w:val="keyword"/>
    <w:basedOn w:val="20"/>
    <w:qFormat/>
    <w:uiPriority w:val="0"/>
  </w:style>
  <w:style w:type="character" w:customStyle="1" w:styleId="50">
    <w:name w:val="paragraph_title"/>
    <w:basedOn w:val="20"/>
    <w:qFormat/>
    <w:uiPriority w:val="0"/>
  </w:style>
  <w:style w:type="character" w:customStyle="1" w:styleId="51">
    <w:name w:val="题注1"/>
    <w:basedOn w:val="20"/>
    <w:qFormat/>
    <w:uiPriority w:val="0"/>
  </w:style>
  <w:style w:type="character" w:customStyle="1" w:styleId="52">
    <w:name w:val="outline_anchor"/>
    <w:basedOn w:val="20"/>
    <w:qFormat/>
    <w:uiPriority w:val="0"/>
  </w:style>
  <w:style w:type="character" w:customStyle="1" w:styleId="53">
    <w:name w:val="z-窗体顶端 字符"/>
    <w:basedOn w:val="20"/>
    <w:link w:val="54"/>
    <w:semiHidden/>
    <w:qFormat/>
    <w:uiPriority w:val="99"/>
    <w:rPr>
      <w:rFonts w:ascii="Arial" w:hAnsi="Arial" w:eastAsia="宋体" w:cs="Arial"/>
      <w:vanish/>
      <w:kern w:val="0"/>
      <w:sz w:val="16"/>
      <w:szCs w:val="16"/>
    </w:rPr>
  </w:style>
  <w:style w:type="paragraph" w:customStyle="1" w:styleId="54">
    <w:name w:val="z-窗体顶端1"/>
    <w:basedOn w:val="1"/>
    <w:next w:val="1"/>
    <w:link w:val="53"/>
    <w:semiHidden/>
    <w:unhideWhenUsed/>
    <w:qFormat/>
    <w:uiPriority w:val="99"/>
    <w:pPr>
      <w:widowControl/>
      <w:pBdr>
        <w:bottom w:val="single" w:color="auto" w:sz="6" w:space="1"/>
      </w:pBdr>
      <w:jc w:val="center"/>
    </w:pPr>
    <w:rPr>
      <w:rFonts w:ascii="Arial" w:hAnsi="Arial" w:cs="Arial"/>
      <w:vanish/>
      <w:kern w:val="0"/>
      <w:sz w:val="16"/>
      <w:szCs w:val="16"/>
    </w:rPr>
  </w:style>
  <w:style w:type="character" w:customStyle="1" w:styleId="55">
    <w:name w:val="z-窗体顶端 Char1"/>
    <w:basedOn w:val="20"/>
    <w:semiHidden/>
    <w:qFormat/>
    <w:uiPriority w:val="99"/>
    <w:rPr>
      <w:rFonts w:ascii="Arial" w:hAnsi="Arial" w:eastAsia="宋体" w:cs="Arial"/>
      <w:vanish/>
      <w:sz w:val="16"/>
      <w:szCs w:val="16"/>
    </w:rPr>
  </w:style>
  <w:style w:type="character" w:customStyle="1" w:styleId="56">
    <w:name w:val="z-窗体底端 字符"/>
    <w:basedOn w:val="20"/>
    <w:link w:val="57"/>
    <w:semiHidden/>
    <w:qFormat/>
    <w:uiPriority w:val="99"/>
    <w:rPr>
      <w:rFonts w:ascii="Arial" w:hAnsi="Arial" w:eastAsia="宋体" w:cs="Arial"/>
      <w:vanish/>
      <w:kern w:val="0"/>
      <w:sz w:val="16"/>
      <w:szCs w:val="16"/>
    </w:rPr>
  </w:style>
  <w:style w:type="paragraph" w:customStyle="1" w:styleId="57">
    <w:name w:val="z-窗体底端1"/>
    <w:basedOn w:val="1"/>
    <w:next w:val="1"/>
    <w:link w:val="56"/>
    <w:semiHidden/>
    <w:unhideWhenUsed/>
    <w:qFormat/>
    <w:uiPriority w:val="99"/>
    <w:pPr>
      <w:widowControl/>
      <w:pBdr>
        <w:top w:val="single" w:color="auto" w:sz="6" w:space="1"/>
      </w:pBdr>
      <w:jc w:val="center"/>
    </w:pPr>
    <w:rPr>
      <w:rFonts w:ascii="Arial" w:hAnsi="Arial" w:cs="Arial"/>
      <w:vanish/>
      <w:kern w:val="0"/>
      <w:sz w:val="16"/>
      <w:szCs w:val="16"/>
    </w:rPr>
  </w:style>
  <w:style w:type="character" w:customStyle="1" w:styleId="58">
    <w:name w:val="z-窗体底端 Char1"/>
    <w:basedOn w:val="20"/>
    <w:semiHidden/>
    <w:qFormat/>
    <w:uiPriority w:val="99"/>
    <w:rPr>
      <w:rFonts w:ascii="Arial" w:hAnsi="Arial" w:eastAsia="宋体" w:cs="Arial"/>
      <w:vanish/>
      <w:sz w:val="16"/>
      <w:szCs w:val="16"/>
    </w:rPr>
  </w:style>
  <w:style w:type="paragraph" w:customStyle="1" w:styleId="59">
    <w:name w:val="reader-word-layer reader-word-s2-16"/>
    <w:basedOn w:val="1"/>
    <w:qFormat/>
    <w:uiPriority w:val="0"/>
    <w:pPr>
      <w:widowControl/>
      <w:spacing w:before="100" w:beforeAutospacing="1" w:after="100" w:afterAutospacing="1"/>
      <w:jc w:val="left"/>
    </w:pPr>
    <w:rPr>
      <w:rFonts w:ascii="宋体" w:hAnsi="宋体" w:cs="宋体"/>
      <w:kern w:val="0"/>
      <w:sz w:val="24"/>
    </w:rPr>
  </w:style>
  <w:style w:type="character" w:customStyle="1" w:styleId="60">
    <w:name w:val="bjh-p"/>
    <w:basedOn w:val="20"/>
    <w:qFormat/>
    <w:uiPriority w:val="0"/>
  </w:style>
  <w:style w:type="character" w:customStyle="1" w:styleId="61">
    <w:name w:val="bjh-strong"/>
    <w:basedOn w:val="20"/>
    <w:qFormat/>
    <w:uiPriority w:val="0"/>
  </w:style>
  <w:style w:type="character" w:customStyle="1" w:styleId="62">
    <w:name w:val="author_cn"/>
    <w:basedOn w:val="20"/>
    <w:qFormat/>
    <w:uiPriority w:val="0"/>
  </w:style>
  <w:style w:type="character" w:customStyle="1" w:styleId="63">
    <w:name w:val="author_en"/>
    <w:basedOn w:val="20"/>
    <w:qFormat/>
    <w:uiPriority w:val="0"/>
  </w:style>
  <w:style w:type="character" w:customStyle="1" w:styleId="64">
    <w:name w:val="题注2"/>
    <w:basedOn w:val="20"/>
    <w:qFormat/>
    <w:uiPriority w:val="0"/>
  </w:style>
  <w:style w:type="character" w:customStyle="1" w:styleId="65">
    <w:name w:val="tabtext"/>
    <w:basedOn w:val="20"/>
    <w:qFormat/>
    <w:uiPriority w:val="0"/>
  </w:style>
  <w:style w:type="character" w:customStyle="1" w:styleId="66">
    <w:name w:val="mathjax_preview"/>
    <w:basedOn w:val="20"/>
    <w:qFormat/>
    <w:uiPriority w:val="0"/>
  </w:style>
  <w:style w:type="character" w:customStyle="1" w:styleId="67">
    <w:name w:val="mathjax"/>
    <w:basedOn w:val="20"/>
    <w:qFormat/>
    <w:uiPriority w:val="0"/>
  </w:style>
  <w:style w:type="character" w:customStyle="1" w:styleId="68">
    <w:name w:val="math"/>
    <w:basedOn w:val="20"/>
    <w:qFormat/>
    <w:uiPriority w:val="0"/>
  </w:style>
  <w:style w:type="character" w:customStyle="1" w:styleId="69">
    <w:name w:val="mrow"/>
    <w:basedOn w:val="20"/>
    <w:qFormat/>
    <w:uiPriority w:val="0"/>
  </w:style>
  <w:style w:type="character" w:customStyle="1" w:styleId="70">
    <w:name w:val="mtable"/>
    <w:basedOn w:val="20"/>
    <w:qFormat/>
    <w:uiPriority w:val="0"/>
  </w:style>
  <w:style w:type="character" w:customStyle="1" w:styleId="71">
    <w:name w:val="mtd"/>
    <w:basedOn w:val="20"/>
    <w:qFormat/>
    <w:uiPriority w:val="0"/>
  </w:style>
  <w:style w:type="character" w:customStyle="1" w:styleId="72">
    <w:name w:val="texatom"/>
    <w:basedOn w:val="20"/>
    <w:qFormat/>
    <w:uiPriority w:val="0"/>
  </w:style>
  <w:style w:type="character" w:customStyle="1" w:styleId="73">
    <w:name w:val="mi"/>
    <w:basedOn w:val="20"/>
    <w:qFormat/>
    <w:uiPriority w:val="0"/>
  </w:style>
  <w:style w:type="character" w:customStyle="1" w:styleId="74">
    <w:name w:val="mo"/>
    <w:basedOn w:val="20"/>
    <w:qFormat/>
    <w:uiPriority w:val="0"/>
  </w:style>
  <w:style w:type="character" w:customStyle="1" w:styleId="75">
    <w:name w:val="msubsup"/>
    <w:basedOn w:val="20"/>
    <w:qFormat/>
    <w:uiPriority w:val="0"/>
  </w:style>
  <w:style w:type="character" w:customStyle="1" w:styleId="76">
    <w:name w:val="mn"/>
    <w:basedOn w:val="20"/>
    <w:qFormat/>
    <w:uiPriority w:val="0"/>
  </w:style>
  <w:style w:type="character" w:customStyle="1" w:styleId="77">
    <w:name w:val="mjx_assistive_mathml"/>
    <w:basedOn w:val="20"/>
    <w:qFormat/>
    <w:uiPriority w:val="0"/>
  </w:style>
  <w:style w:type="character" w:customStyle="1" w:styleId="78">
    <w:name w:val="日期 字符"/>
    <w:basedOn w:val="20"/>
    <w:link w:val="9"/>
    <w:semiHidden/>
    <w:qFormat/>
    <w:uiPriority w:val="99"/>
    <w:rPr>
      <w:rFonts w:ascii="Times New Roman" w:hAnsi="Times New Roman" w:eastAsia="宋体" w:cs="Times New Roman"/>
      <w:szCs w:val="24"/>
    </w:rPr>
  </w:style>
  <w:style w:type="paragraph" w:customStyle="1" w:styleId="79">
    <w:name w:val="msonormal"/>
    <w:basedOn w:val="1"/>
    <w:qFormat/>
    <w:uiPriority w:val="0"/>
    <w:pPr>
      <w:widowControl/>
      <w:spacing w:before="100" w:beforeAutospacing="1" w:after="100" w:afterAutospacing="1"/>
      <w:jc w:val="left"/>
    </w:pPr>
    <w:rPr>
      <w:rFonts w:ascii="宋体" w:hAnsi="宋体" w:cs="宋体"/>
      <w:kern w:val="0"/>
      <w:sz w:val="24"/>
    </w:rPr>
  </w:style>
  <w:style w:type="paragraph" w:customStyle="1" w:styleId="80">
    <w:name w:val="custom_unionstyle"/>
    <w:basedOn w:val="1"/>
    <w:qFormat/>
    <w:uiPriority w:val="0"/>
    <w:pPr>
      <w:widowControl/>
      <w:spacing w:before="100" w:beforeAutospacing="1" w:after="100" w:afterAutospacing="1"/>
      <w:jc w:val="left"/>
    </w:pPr>
    <w:rPr>
      <w:rFonts w:ascii="宋体" w:hAnsi="宋体" w:cs="宋体"/>
      <w:kern w:val="0"/>
      <w:sz w:val="24"/>
    </w:rPr>
  </w:style>
  <w:style w:type="paragraph" w:customStyle="1" w:styleId="81">
    <w:name w:val="li-pdf"/>
    <w:basedOn w:val="1"/>
    <w:qFormat/>
    <w:uiPriority w:val="0"/>
    <w:pPr>
      <w:widowControl/>
      <w:spacing w:before="100" w:beforeAutospacing="1" w:after="100" w:afterAutospacing="1"/>
      <w:jc w:val="left"/>
    </w:pPr>
    <w:rPr>
      <w:rFonts w:ascii="宋体" w:hAnsi="宋体" w:cs="宋体"/>
      <w:kern w:val="0"/>
      <w:sz w:val="24"/>
    </w:rPr>
  </w:style>
  <w:style w:type="paragraph" w:customStyle="1" w:styleId="82">
    <w:name w:val="li-excel"/>
    <w:basedOn w:val="1"/>
    <w:qFormat/>
    <w:uiPriority w:val="0"/>
    <w:pPr>
      <w:widowControl/>
      <w:spacing w:before="100" w:beforeAutospacing="1" w:after="100" w:afterAutospacing="1"/>
      <w:jc w:val="left"/>
    </w:pPr>
    <w:rPr>
      <w:rFonts w:ascii="宋体" w:hAnsi="宋体" w:cs="宋体"/>
      <w:kern w:val="0"/>
      <w:sz w:val="24"/>
    </w:rPr>
  </w:style>
  <w:style w:type="paragraph" w:customStyle="1" w:styleId="83">
    <w:name w:val="li-xml"/>
    <w:basedOn w:val="1"/>
    <w:qFormat/>
    <w:uiPriority w:val="0"/>
    <w:pPr>
      <w:widowControl/>
      <w:spacing w:before="100" w:beforeAutospacing="1" w:after="100" w:afterAutospacing="1"/>
      <w:jc w:val="left"/>
    </w:pPr>
    <w:rPr>
      <w:rFonts w:ascii="宋体" w:hAnsi="宋体" w:cs="宋体"/>
      <w:kern w:val="0"/>
      <w:sz w:val="24"/>
    </w:rPr>
  </w:style>
  <w:style w:type="character" w:customStyle="1" w:styleId="84">
    <w:name w:val="maincolor"/>
    <w:basedOn w:val="20"/>
    <w:qFormat/>
    <w:uiPriority w:val="0"/>
  </w:style>
  <w:style w:type="paragraph" w:customStyle="1" w:styleId="85">
    <w:name w:val="article_ceil_title"/>
    <w:basedOn w:val="1"/>
    <w:qFormat/>
    <w:uiPriority w:val="0"/>
    <w:pPr>
      <w:widowControl/>
      <w:spacing w:before="100" w:beforeAutospacing="1" w:after="100" w:afterAutospacing="1"/>
      <w:jc w:val="left"/>
    </w:pPr>
    <w:rPr>
      <w:rFonts w:ascii="宋体" w:hAnsi="宋体" w:cs="宋体"/>
      <w:kern w:val="0"/>
      <w:sz w:val="24"/>
    </w:rPr>
  </w:style>
  <w:style w:type="paragraph" w:customStyle="1" w:styleId="86">
    <w:name w:val="article_ceil_author"/>
    <w:basedOn w:val="1"/>
    <w:qFormat/>
    <w:uiPriority w:val="0"/>
    <w:pPr>
      <w:widowControl/>
      <w:spacing w:before="100" w:beforeAutospacing="1" w:after="100" w:afterAutospacing="1"/>
      <w:jc w:val="left"/>
    </w:pPr>
    <w:rPr>
      <w:rFonts w:ascii="宋体" w:hAnsi="宋体" w:cs="宋体"/>
      <w:kern w:val="0"/>
      <w:sz w:val="24"/>
    </w:rPr>
  </w:style>
  <w:style w:type="paragraph" w:customStyle="1" w:styleId="87">
    <w:name w:val="articletool_li1"/>
    <w:basedOn w:val="1"/>
    <w:qFormat/>
    <w:uiPriority w:val="0"/>
    <w:pPr>
      <w:widowControl/>
      <w:spacing w:before="100" w:beforeAutospacing="1" w:after="100" w:afterAutospacing="1"/>
      <w:jc w:val="left"/>
    </w:pPr>
    <w:rPr>
      <w:rFonts w:ascii="宋体" w:hAnsi="宋体" w:cs="宋体"/>
      <w:kern w:val="0"/>
      <w:sz w:val="24"/>
    </w:rPr>
  </w:style>
  <w:style w:type="paragraph" w:customStyle="1" w:styleId="88">
    <w:name w:val="articletool_li2"/>
    <w:basedOn w:val="1"/>
    <w:qFormat/>
    <w:uiPriority w:val="0"/>
    <w:pPr>
      <w:widowControl/>
      <w:spacing w:before="100" w:beforeAutospacing="1" w:after="100" w:afterAutospacing="1"/>
      <w:jc w:val="left"/>
    </w:pPr>
    <w:rPr>
      <w:rFonts w:ascii="宋体" w:hAnsi="宋体" w:cs="宋体"/>
      <w:kern w:val="0"/>
      <w:sz w:val="24"/>
    </w:rPr>
  </w:style>
  <w:style w:type="paragraph" w:customStyle="1" w:styleId="89">
    <w:name w:val="articletool_li3"/>
    <w:basedOn w:val="1"/>
    <w:qFormat/>
    <w:uiPriority w:val="0"/>
    <w:pPr>
      <w:widowControl/>
      <w:spacing w:before="100" w:beforeAutospacing="1" w:after="100" w:afterAutospacing="1"/>
      <w:jc w:val="left"/>
    </w:pPr>
    <w:rPr>
      <w:rFonts w:ascii="宋体" w:hAnsi="宋体" w:cs="宋体"/>
      <w:kern w:val="0"/>
      <w:sz w:val="24"/>
    </w:rPr>
  </w:style>
  <w:style w:type="paragraph" w:customStyle="1" w:styleId="90">
    <w:name w:val="figtabspan"/>
    <w:basedOn w:val="1"/>
    <w:qFormat/>
    <w:uiPriority w:val="0"/>
    <w:pPr>
      <w:widowControl/>
      <w:spacing w:before="100" w:beforeAutospacing="1" w:after="100" w:afterAutospacing="1"/>
      <w:jc w:val="left"/>
    </w:pPr>
    <w:rPr>
      <w:rFonts w:ascii="宋体" w:hAnsi="宋体" w:cs="宋体"/>
      <w:kern w:val="0"/>
      <w:sz w:val="24"/>
    </w:rPr>
  </w:style>
  <w:style w:type="character" w:customStyle="1" w:styleId="91">
    <w:name w:val="info"/>
    <w:basedOn w:val="20"/>
    <w:qFormat/>
    <w:uiPriority w:val="0"/>
  </w:style>
  <w:style w:type="character" w:customStyle="1" w:styleId="92">
    <w:name w:val="infoen"/>
    <w:basedOn w:val="20"/>
    <w:qFormat/>
    <w:uiPriority w:val="0"/>
  </w:style>
  <w:style w:type="character" w:customStyle="1" w:styleId="93">
    <w:name w:val="rich_media_meta_link"/>
    <w:basedOn w:val="20"/>
    <w:qFormat/>
    <w:uiPriority w:val="0"/>
  </w:style>
  <w:style w:type="character" w:customStyle="1" w:styleId="94">
    <w:name w:val="source"/>
    <w:basedOn w:val="20"/>
    <w:qFormat/>
    <w:uiPriority w:val="0"/>
  </w:style>
  <w:style w:type="paragraph" w:customStyle="1" w:styleId="95">
    <w:name w:val="one-p"/>
    <w:basedOn w:val="1"/>
    <w:qFormat/>
    <w:uiPriority w:val="0"/>
    <w:pPr>
      <w:widowControl/>
      <w:spacing w:before="100" w:beforeAutospacing="1" w:after="100" w:afterAutospacing="1"/>
      <w:jc w:val="left"/>
    </w:pPr>
    <w:rPr>
      <w:rFonts w:ascii="宋体" w:hAnsi="宋体" w:cs="宋体"/>
      <w:kern w:val="0"/>
      <w:sz w:val="24"/>
    </w:rPr>
  </w:style>
  <w:style w:type="character" w:customStyle="1" w:styleId="96">
    <w:name w:val="vm"/>
    <w:basedOn w:val="20"/>
    <w:qFormat/>
    <w:uiPriority w:val="0"/>
  </w:style>
  <w:style w:type="character" w:customStyle="1" w:styleId="97">
    <w:name w:val="article_title3"/>
    <w:basedOn w:val="20"/>
    <w:qFormat/>
    <w:uiPriority w:val="0"/>
  </w:style>
  <w:style w:type="character" w:customStyle="1" w:styleId="98">
    <w:name w:val="正文文本 字符"/>
    <w:basedOn w:val="20"/>
    <w:link w:val="8"/>
    <w:qFormat/>
    <w:uiPriority w:val="1"/>
    <w:rPr>
      <w:rFonts w:ascii="Times New Roman" w:hAnsi="Times New Roman" w:eastAsia="Times New Roman" w:cs="Times New Roman"/>
      <w:kern w:val="0"/>
      <w:sz w:val="17"/>
      <w:szCs w:val="17"/>
      <w:lang w:eastAsia="en-US" w:bidi="en-US"/>
    </w:rPr>
  </w:style>
  <w:style w:type="paragraph" w:customStyle="1" w:styleId="99">
    <w:name w:val="Table Paragraph"/>
    <w:basedOn w:val="1"/>
    <w:qFormat/>
    <w:uiPriority w:val="1"/>
    <w:pPr>
      <w:autoSpaceDE w:val="0"/>
      <w:autoSpaceDN w:val="0"/>
      <w:spacing w:before="46"/>
      <w:jc w:val="center"/>
    </w:pPr>
    <w:rPr>
      <w:rFonts w:eastAsia="Times New Roman"/>
      <w:kern w:val="0"/>
      <w:sz w:val="22"/>
      <w:szCs w:val="22"/>
      <w:lang w:eastAsia="en-US" w:bidi="en-US"/>
    </w:rPr>
  </w:style>
  <w:style w:type="paragraph" w:customStyle="1" w:styleId="100">
    <w:name w:val="pic_center"/>
    <w:basedOn w:val="1"/>
    <w:qFormat/>
    <w:uiPriority w:val="0"/>
    <w:pPr>
      <w:widowControl/>
      <w:spacing w:before="100" w:beforeAutospacing="1" w:after="100" w:afterAutospacing="1"/>
      <w:jc w:val="left"/>
    </w:pPr>
    <w:rPr>
      <w:rFonts w:ascii="宋体" w:hAnsi="宋体" w:cs="宋体"/>
      <w:kern w:val="0"/>
      <w:sz w:val="24"/>
    </w:rPr>
  </w:style>
  <w:style w:type="character" w:customStyle="1" w:styleId="101">
    <w:name w:val="anchor-a"/>
    <w:basedOn w:val="20"/>
    <w:qFormat/>
    <w:uiPriority w:val="0"/>
  </w:style>
  <w:style w:type="character" w:customStyle="1" w:styleId="102">
    <w:name w:val="未处理的提及1"/>
    <w:basedOn w:val="20"/>
    <w:semiHidden/>
    <w:unhideWhenUsed/>
    <w:qFormat/>
    <w:uiPriority w:val="99"/>
    <w:rPr>
      <w:color w:val="605E5C"/>
      <w:shd w:val="clear" w:color="auto" w:fill="E1DFDD"/>
    </w:rPr>
  </w:style>
  <w:style w:type="paragraph" w:styleId="103">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customStyle="1" w:styleId="104">
    <w:name w:val="s1"/>
    <w:basedOn w:val="1"/>
    <w:qFormat/>
    <w:uiPriority w:val="0"/>
    <w:pPr>
      <w:widowControl/>
      <w:spacing w:before="100" w:beforeAutospacing="1" w:after="100" w:afterAutospacing="1"/>
      <w:jc w:val="left"/>
    </w:pPr>
    <w:rPr>
      <w:rFonts w:ascii="宋体" w:hAnsi="宋体" w:cs="宋体"/>
      <w:kern w:val="0"/>
      <w:sz w:val="24"/>
    </w:rPr>
  </w:style>
  <w:style w:type="character" w:customStyle="1" w:styleId="105">
    <w:name w:val="s2"/>
    <w:basedOn w:val="20"/>
    <w:qFormat/>
    <w:uiPriority w:val="0"/>
  </w:style>
  <w:style w:type="character" w:customStyle="1" w:styleId="106">
    <w:name w:val="s3"/>
    <w:basedOn w:val="20"/>
    <w:qFormat/>
    <w:uiPriority w:val="0"/>
  </w:style>
  <w:style w:type="paragraph" w:customStyle="1" w:styleId="107">
    <w:name w:val="s4"/>
    <w:basedOn w:val="1"/>
    <w:qFormat/>
    <w:uiPriority w:val="0"/>
    <w:pPr>
      <w:widowControl/>
      <w:spacing w:before="100" w:beforeAutospacing="1" w:after="100" w:afterAutospacing="1"/>
      <w:jc w:val="left"/>
    </w:pPr>
    <w:rPr>
      <w:rFonts w:ascii="宋体" w:hAnsi="宋体" w:cs="宋体"/>
      <w:kern w:val="0"/>
      <w:sz w:val="24"/>
    </w:rPr>
  </w:style>
  <w:style w:type="character" w:customStyle="1" w:styleId="108">
    <w:name w:val="s5"/>
    <w:basedOn w:val="20"/>
    <w:qFormat/>
    <w:uiPriority w:val="0"/>
  </w:style>
  <w:style w:type="character" w:customStyle="1" w:styleId="109">
    <w:name w:val="s6"/>
    <w:basedOn w:val="20"/>
    <w:qFormat/>
    <w:uiPriority w:val="0"/>
  </w:style>
  <w:style w:type="character" w:customStyle="1" w:styleId="110">
    <w:name w:val="p"/>
    <w:basedOn w:val="20"/>
    <w:qFormat/>
    <w:uiPriority w:val="0"/>
  </w:style>
  <w:style w:type="paragraph" w:customStyle="1" w:styleId="111">
    <w:name w:val="s7"/>
    <w:basedOn w:val="1"/>
    <w:qFormat/>
    <w:uiPriority w:val="0"/>
    <w:pPr>
      <w:widowControl/>
      <w:spacing w:before="100" w:beforeAutospacing="1" w:after="100" w:afterAutospacing="1"/>
      <w:jc w:val="left"/>
    </w:pPr>
    <w:rPr>
      <w:rFonts w:ascii="宋体" w:hAnsi="宋体" w:cs="宋体"/>
      <w:kern w:val="0"/>
      <w:sz w:val="24"/>
    </w:rPr>
  </w:style>
  <w:style w:type="character" w:customStyle="1" w:styleId="112">
    <w:name w:val="s41"/>
    <w:basedOn w:val="20"/>
    <w:qFormat/>
    <w:uiPriority w:val="0"/>
  </w:style>
  <w:style w:type="character" w:customStyle="1" w:styleId="113">
    <w:name w:val="h2"/>
    <w:basedOn w:val="20"/>
    <w:qFormat/>
    <w:uiPriority w:val="0"/>
  </w:style>
  <w:style w:type="paragraph" w:customStyle="1" w:styleId="114">
    <w:name w:val="s10"/>
    <w:basedOn w:val="1"/>
    <w:qFormat/>
    <w:uiPriority w:val="0"/>
    <w:pPr>
      <w:widowControl/>
      <w:spacing w:before="100" w:beforeAutospacing="1" w:after="100" w:afterAutospacing="1"/>
      <w:jc w:val="left"/>
    </w:pPr>
    <w:rPr>
      <w:rFonts w:ascii="宋体" w:hAnsi="宋体" w:cs="宋体"/>
      <w:kern w:val="0"/>
      <w:sz w:val="24"/>
    </w:rPr>
  </w:style>
  <w:style w:type="paragraph" w:customStyle="1" w:styleId="115">
    <w:name w:val="s9"/>
    <w:basedOn w:val="1"/>
    <w:qFormat/>
    <w:uiPriority w:val="0"/>
    <w:pPr>
      <w:widowControl/>
      <w:spacing w:before="100" w:beforeAutospacing="1" w:after="100" w:afterAutospacing="1"/>
      <w:jc w:val="left"/>
    </w:pPr>
    <w:rPr>
      <w:rFonts w:ascii="宋体" w:hAnsi="宋体" w:cs="宋体"/>
      <w:kern w:val="0"/>
      <w:sz w:val="24"/>
    </w:rPr>
  </w:style>
  <w:style w:type="character" w:customStyle="1" w:styleId="116">
    <w:name w:val="s11"/>
    <w:basedOn w:val="20"/>
    <w:qFormat/>
    <w:uiPriority w:val="0"/>
  </w:style>
  <w:style w:type="paragraph" w:customStyle="1" w:styleId="117">
    <w:name w:val="s14"/>
    <w:basedOn w:val="1"/>
    <w:qFormat/>
    <w:uiPriority w:val="0"/>
    <w:pPr>
      <w:widowControl/>
      <w:spacing w:before="100" w:beforeAutospacing="1" w:after="100" w:afterAutospacing="1"/>
      <w:jc w:val="left"/>
    </w:pPr>
    <w:rPr>
      <w:rFonts w:ascii="宋体" w:hAnsi="宋体" w:cs="宋体"/>
      <w:kern w:val="0"/>
      <w:sz w:val="24"/>
    </w:rPr>
  </w:style>
  <w:style w:type="character" w:customStyle="1" w:styleId="118">
    <w:name w:val="s12"/>
    <w:basedOn w:val="20"/>
    <w:qFormat/>
    <w:uiPriority w:val="0"/>
  </w:style>
  <w:style w:type="character" w:customStyle="1" w:styleId="119">
    <w:name w:val="s13"/>
    <w:basedOn w:val="20"/>
    <w:qFormat/>
    <w:uiPriority w:val="0"/>
  </w:style>
  <w:style w:type="paragraph" w:customStyle="1" w:styleId="120">
    <w:name w:val="s131"/>
    <w:basedOn w:val="1"/>
    <w:qFormat/>
    <w:uiPriority w:val="0"/>
    <w:pPr>
      <w:widowControl/>
      <w:spacing w:before="100" w:beforeAutospacing="1" w:after="100" w:afterAutospacing="1"/>
      <w:jc w:val="left"/>
    </w:pPr>
    <w:rPr>
      <w:rFonts w:ascii="宋体" w:hAnsi="宋体" w:cs="宋体"/>
      <w:kern w:val="0"/>
      <w:sz w:val="24"/>
    </w:rPr>
  </w:style>
  <w:style w:type="character" w:customStyle="1" w:styleId="121">
    <w:name w:val="h4"/>
    <w:basedOn w:val="20"/>
    <w:qFormat/>
    <w:uiPriority w:val="0"/>
  </w:style>
  <w:style w:type="character" w:customStyle="1" w:styleId="122">
    <w:name w:val="s141"/>
    <w:basedOn w:val="20"/>
    <w:qFormat/>
    <w:uiPriority w:val="0"/>
  </w:style>
  <w:style w:type="paragraph" w:customStyle="1" w:styleId="123">
    <w:name w:val="s121"/>
    <w:basedOn w:val="1"/>
    <w:qFormat/>
    <w:uiPriority w:val="0"/>
    <w:pPr>
      <w:widowControl/>
      <w:spacing w:before="100" w:beforeAutospacing="1" w:after="100" w:afterAutospacing="1"/>
      <w:jc w:val="left"/>
    </w:pPr>
    <w:rPr>
      <w:rFonts w:ascii="宋体" w:hAnsi="宋体" w:cs="宋体"/>
      <w:kern w:val="0"/>
      <w:sz w:val="24"/>
    </w:rPr>
  </w:style>
  <w:style w:type="paragraph" w:customStyle="1" w:styleId="124">
    <w:name w:val="s16"/>
    <w:basedOn w:val="1"/>
    <w:qFormat/>
    <w:uiPriority w:val="0"/>
    <w:pPr>
      <w:widowControl/>
      <w:spacing w:before="100" w:beforeAutospacing="1" w:after="100" w:afterAutospacing="1"/>
      <w:jc w:val="left"/>
    </w:pPr>
    <w:rPr>
      <w:rFonts w:ascii="宋体" w:hAnsi="宋体" w:cs="宋体"/>
      <w:kern w:val="0"/>
      <w:sz w:val="24"/>
    </w:rPr>
  </w:style>
  <w:style w:type="character" w:customStyle="1" w:styleId="125">
    <w:name w:val="s17"/>
    <w:basedOn w:val="20"/>
    <w:qFormat/>
    <w:uiPriority w:val="0"/>
  </w:style>
  <w:style w:type="character" w:customStyle="1" w:styleId="126">
    <w:name w:val="s18"/>
    <w:basedOn w:val="20"/>
    <w:qFormat/>
    <w:uiPriority w:val="0"/>
  </w:style>
  <w:style w:type="character" w:customStyle="1" w:styleId="127">
    <w:name w:val="s19"/>
    <w:basedOn w:val="20"/>
    <w:qFormat/>
    <w:uiPriority w:val="0"/>
  </w:style>
  <w:style w:type="character" w:customStyle="1" w:styleId="128">
    <w:name w:val="s20"/>
    <w:basedOn w:val="20"/>
    <w:qFormat/>
    <w:uiPriority w:val="0"/>
  </w:style>
  <w:style w:type="character" w:customStyle="1" w:styleId="129">
    <w:name w:val="s21"/>
    <w:basedOn w:val="20"/>
    <w:qFormat/>
    <w:uiPriority w:val="0"/>
  </w:style>
  <w:style w:type="paragraph" w:customStyle="1" w:styleId="130">
    <w:name w:val="s22"/>
    <w:basedOn w:val="1"/>
    <w:qFormat/>
    <w:uiPriority w:val="0"/>
    <w:pPr>
      <w:widowControl/>
      <w:spacing w:before="100" w:beforeAutospacing="1" w:after="100" w:afterAutospacing="1"/>
      <w:jc w:val="left"/>
    </w:pPr>
    <w:rPr>
      <w:rFonts w:ascii="宋体" w:hAnsi="宋体" w:cs="宋体"/>
      <w:kern w:val="0"/>
      <w:sz w:val="24"/>
    </w:rPr>
  </w:style>
  <w:style w:type="character" w:customStyle="1" w:styleId="131">
    <w:name w:val="s23"/>
    <w:basedOn w:val="20"/>
    <w:qFormat/>
    <w:uiPriority w:val="0"/>
  </w:style>
  <w:style w:type="character" w:customStyle="1" w:styleId="132">
    <w:name w:val="s24"/>
    <w:basedOn w:val="20"/>
    <w:qFormat/>
    <w:uiPriority w:val="0"/>
  </w:style>
  <w:style w:type="paragraph" w:customStyle="1" w:styleId="133">
    <w:name w:val="s25"/>
    <w:basedOn w:val="1"/>
    <w:qFormat/>
    <w:uiPriority w:val="0"/>
    <w:pPr>
      <w:widowControl/>
      <w:spacing w:before="100" w:beforeAutospacing="1" w:after="100" w:afterAutospacing="1"/>
      <w:jc w:val="left"/>
    </w:pPr>
    <w:rPr>
      <w:rFonts w:ascii="宋体" w:hAnsi="宋体" w:cs="宋体"/>
      <w:kern w:val="0"/>
      <w:sz w:val="24"/>
    </w:rPr>
  </w:style>
  <w:style w:type="character" w:customStyle="1" w:styleId="134">
    <w:name w:val="s221"/>
    <w:basedOn w:val="20"/>
    <w:qFormat/>
    <w:uiPriority w:val="0"/>
  </w:style>
  <w:style w:type="paragraph" w:customStyle="1" w:styleId="135">
    <w:name w:val="s27"/>
    <w:basedOn w:val="1"/>
    <w:qFormat/>
    <w:uiPriority w:val="0"/>
    <w:pPr>
      <w:widowControl/>
      <w:spacing w:before="100" w:beforeAutospacing="1" w:after="100" w:afterAutospacing="1"/>
      <w:jc w:val="left"/>
    </w:pPr>
    <w:rPr>
      <w:rFonts w:ascii="宋体" w:hAnsi="宋体" w:cs="宋体"/>
      <w:kern w:val="0"/>
      <w:sz w:val="24"/>
    </w:rPr>
  </w:style>
  <w:style w:type="paragraph" w:customStyle="1" w:styleId="136">
    <w:name w:val="s28"/>
    <w:basedOn w:val="1"/>
    <w:qFormat/>
    <w:uiPriority w:val="0"/>
    <w:pPr>
      <w:widowControl/>
      <w:spacing w:before="100" w:beforeAutospacing="1" w:after="100" w:afterAutospacing="1"/>
      <w:jc w:val="left"/>
    </w:pPr>
    <w:rPr>
      <w:rFonts w:ascii="宋体" w:hAnsi="宋体" w:cs="宋体"/>
      <w:kern w:val="0"/>
      <w:sz w:val="24"/>
    </w:rPr>
  </w:style>
  <w:style w:type="character" w:customStyle="1" w:styleId="137">
    <w:name w:val="s30"/>
    <w:basedOn w:val="20"/>
    <w:qFormat/>
    <w:uiPriority w:val="0"/>
  </w:style>
  <w:style w:type="paragraph" w:customStyle="1" w:styleId="138">
    <w:name w:val="s171"/>
    <w:basedOn w:val="1"/>
    <w:qFormat/>
    <w:uiPriority w:val="0"/>
    <w:pPr>
      <w:widowControl/>
      <w:spacing w:before="100" w:beforeAutospacing="1" w:after="100" w:afterAutospacing="1"/>
      <w:jc w:val="left"/>
    </w:pPr>
    <w:rPr>
      <w:rFonts w:ascii="宋体" w:hAnsi="宋体" w:cs="宋体"/>
      <w:kern w:val="0"/>
      <w:sz w:val="24"/>
    </w:rPr>
  </w:style>
  <w:style w:type="character" w:customStyle="1" w:styleId="139">
    <w:name w:val="s161"/>
    <w:basedOn w:val="20"/>
    <w:qFormat/>
    <w:uiPriority w:val="0"/>
  </w:style>
  <w:style w:type="paragraph" w:customStyle="1" w:styleId="140">
    <w:name w:val="s31"/>
    <w:basedOn w:val="1"/>
    <w:qFormat/>
    <w:uiPriority w:val="0"/>
    <w:pPr>
      <w:widowControl/>
      <w:spacing w:before="100" w:beforeAutospacing="1" w:after="100" w:afterAutospacing="1"/>
      <w:jc w:val="left"/>
    </w:pPr>
    <w:rPr>
      <w:rFonts w:ascii="宋体" w:hAnsi="宋体" w:cs="宋体"/>
      <w:kern w:val="0"/>
      <w:sz w:val="24"/>
    </w:rPr>
  </w:style>
  <w:style w:type="character" w:customStyle="1" w:styleId="141">
    <w:name w:val="s32"/>
    <w:basedOn w:val="20"/>
    <w:qFormat/>
    <w:uiPriority w:val="0"/>
  </w:style>
  <w:style w:type="paragraph" w:customStyle="1" w:styleId="142">
    <w:name w:val="s33"/>
    <w:basedOn w:val="1"/>
    <w:qFormat/>
    <w:uiPriority w:val="0"/>
    <w:pPr>
      <w:widowControl/>
      <w:spacing w:before="100" w:beforeAutospacing="1" w:after="100" w:afterAutospacing="1"/>
      <w:jc w:val="left"/>
    </w:pPr>
    <w:rPr>
      <w:rFonts w:ascii="宋体" w:hAnsi="宋体" w:cs="宋体"/>
      <w:kern w:val="0"/>
      <w:sz w:val="24"/>
    </w:rPr>
  </w:style>
  <w:style w:type="paragraph" w:customStyle="1" w:styleId="143">
    <w:name w:val="s34"/>
    <w:basedOn w:val="1"/>
    <w:qFormat/>
    <w:uiPriority w:val="0"/>
    <w:pPr>
      <w:widowControl/>
      <w:spacing w:before="100" w:beforeAutospacing="1" w:after="100" w:afterAutospacing="1"/>
      <w:jc w:val="left"/>
    </w:pPr>
    <w:rPr>
      <w:rFonts w:ascii="宋体" w:hAnsi="宋体" w:cs="宋体"/>
      <w:kern w:val="0"/>
      <w:sz w:val="24"/>
    </w:rPr>
  </w:style>
  <w:style w:type="character" w:customStyle="1" w:styleId="144">
    <w:name w:val="s331"/>
    <w:basedOn w:val="20"/>
    <w:qFormat/>
    <w:uiPriority w:val="0"/>
  </w:style>
  <w:style w:type="character" w:customStyle="1" w:styleId="145">
    <w:name w:val="s35"/>
    <w:basedOn w:val="20"/>
    <w:qFormat/>
    <w:uiPriority w:val="0"/>
  </w:style>
  <w:style w:type="character" w:customStyle="1" w:styleId="146">
    <w:name w:val="s36"/>
    <w:basedOn w:val="20"/>
    <w:qFormat/>
    <w:uiPriority w:val="0"/>
  </w:style>
  <w:style w:type="character" w:customStyle="1" w:styleId="147">
    <w:name w:val="s37"/>
    <w:basedOn w:val="20"/>
    <w:qFormat/>
    <w:uiPriority w:val="0"/>
  </w:style>
  <w:style w:type="character" w:customStyle="1" w:styleId="148">
    <w:name w:val="s38"/>
    <w:basedOn w:val="20"/>
    <w:qFormat/>
    <w:uiPriority w:val="0"/>
  </w:style>
  <w:style w:type="character" w:customStyle="1" w:styleId="149">
    <w:name w:val="s39"/>
    <w:basedOn w:val="20"/>
    <w:qFormat/>
    <w:uiPriority w:val="0"/>
  </w:style>
  <w:style w:type="character" w:customStyle="1" w:styleId="150">
    <w:name w:val="s40"/>
    <w:basedOn w:val="20"/>
    <w:qFormat/>
    <w:uiPriority w:val="0"/>
  </w:style>
  <w:style w:type="paragraph" w:customStyle="1" w:styleId="151">
    <w:name w:val="s42"/>
    <w:basedOn w:val="1"/>
    <w:qFormat/>
    <w:uiPriority w:val="0"/>
    <w:pPr>
      <w:widowControl/>
      <w:spacing w:before="100" w:beforeAutospacing="1" w:after="100" w:afterAutospacing="1"/>
      <w:jc w:val="left"/>
    </w:pPr>
    <w:rPr>
      <w:rFonts w:ascii="宋体" w:hAnsi="宋体" w:cs="宋体"/>
      <w:kern w:val="0"/>
      <w:sz w:val="24"/>
    </w:rPr>
  </w:style>
  <w:style w:type="character" w:customStyle="1" w:styleId="152">
    <w:name w:val="s43"/>
    <w:basedOn w:val="20"/>
    <w:qFormat/>
    <w:uiPriority w:val="0"/>
  </w:style>
  <w:style w:type="character" w:customStyle="1" w:styleId="153">
    <w:name w:val="s341"/>
    <w:basedOn w:val="20"/>
    <w:qFormat/>
    <w:uiPriority w:val="0"/>
  </w:style>
  <w:style w:type="paragraph" w:customStyle="1" w:styleId="154">
    <w:name w:val="s44"/>
    <w:basedOn w:val="1"/>
    <w:qFormat/>
    <w:uiPriority w:val="0"/>
    <w:pPr>
      <w:widowControl/>
      <w:spacing w:before="100" w:beforeAutospacing="1" w:after="100" w:afterAutospacing="1"/>
      <w:jc w:val="left"/>
    </w:pPr>
    <w:rPr>
      <w:rFonts w:ascii="宋体" w:hAnsi="宋体" w:cs="宋体"/>
      <w:kern w:val="0"/>
      <w:sz w:val="24"/>
    </w:rPr>
  </w:style>
  <w:style w:type="character" w:customStyle="1" w:styleId="155">
    <w:name w:val="s45"/>
    <w:basedOn w:val="20"/>
    <w:qFormat/>
    <w:uiPriority w:val="0"/>
  </w:style>
  <w:style w:type="character" w:customStyle="1" w:styleId="156">
    <w:name w:val="s46"/>
    <w:basedOn w:val="20"/>
    <w:qFormat/>
    <w:uiPriority w:val="0"/>
  </w:style>
  <w:style w:type="character" w:customStyle="1" w:styleId="157">
    <w:name w:val="s47"/>
    <w:basedOn w:val="20"/>
    <w:qFormat/>
    <w:uiPriority w:val="0"/>
  </w:style>
  <w:style w:type="character" w:customStyle="1" w:styleId="158">
    <w:name w:val="s48"/>
    <w:basedOn w:val="20"/>
    <w:qFormat/>
    <w:uiPriority w:val="0"/>
  </w:style>
  <w:style w:type="character" w:customStyle="1" w:styleId="159">
    <w:name w:val="s29"/>
    <w:basedOn w:val="20"/>
    <w:qFormat/>
    <w:uiPriority w:val="0"/>
  </w:style>
  <w:style w:type="character" w:customStyle="1" w:styleId="160">
    <w:name w:val="s50"/>
    <w:basedOn w:val="20"/>
    <w:qFormat/>
    <w:uiPriority w:val="0"/>
  </w:style>
  <w:style w:type="paragraph" w:customStyle="1" w:styleId="161">
    <w:name w:val="s241"/>
    <w:basedOn w:val="1"/>
    <w:qFormat/>
    <w:uiPriority w:val="0"/>
    <w:pPr>
      <w:widowControl/>
      <w:spacing w:before="100" w:beforeAutospacing="1" w:after="100" w:afterAutospacing="1"/>
      <w:jc w:val="left"/>
    </w:pPr>
    <w:rPr>
      <w:rFonts w:ascii="宋体" w:hAnsi="宋体" w:cs="宋体"/>
      <w:kern w:val="0"/>
      <w:sz w:val="24"/>
    </w:rPr>
  </w:style>
  <w:style w:type="character" w:customStyle="1" w:styleId="162">
    <w:name w:val="s51"/>
    <w:basedOn w:val="20"/>
    <w:qFormat/>
    <w:uiPriority w:val="0"/>
  </w:style>
  <w:style w:type="paragraph" w:customStyle="1" w:styleId="163">
    <w:name w:val="s511"/>
    <w:basedOn w:val="1"/>
    <w:qFormat/>
    <w:uiPriority w:val="0"/>
    <w:pPr>
      <w:widowControl/>
      <w:spacing w:before="100" w:beforeAutospacing="1" w:after="100" w:afterAutospacing="1"/>
      <w:jc w:val="left"/>
    </w:pPr>
    <w:rPr>
      <w:rFonts w:ascii="宋体" w:hAnsi="宋体" w:cs="宋体"/>
      <w:kern w:val="0"/>
      <w:sz w:val="24"/>
    </w:rPr>
  </w:style>
  <w:style w:type="paragraph" w:customStyle="1" w:styleId="164">
    <w:name w:val="s52"/>
    <w:basedOn w:val="1"/>
    <w:qFormat/>
    <w:uiPriority w:val="0"/>
    <w:pPr>
      <w:widowControl/>
      <w:spacing w:before="100" w:beforeAutospacing="1" w:after="100" w:afterAutospacing="1"/>
      <w:jc w:val="left"/>
    </w:pPr>
    <w:rPr>
      <w:rFonts w:ascii="宋体" w:hAnsi="宋体" w:cs="宋体"/>
      <w:kern w:val="0"/>
      <w:sz w:val="24"/>
    </w:rPr>
  </w:style>
  <w:style w:type="character" w:customStyle="1" w:styleId="165">
    <w:name w:val="s53"/>
    <w:basedOn w:val="20"/>
    <w:qFormat/>
    <w:uiPriority w:val="0"/>
  </w:style>
  <w:style w:type="paragraph" w:customStyle="1" w:styleId="166">
    <w:name w:val="s531"/>
    <w:basedOn w:val="1"/>
    <w:qFormat/>
    <w:uiPriority w:val="0"/>
    <w:pPr>
      <w:widowControl/>
      <w:spacing w:before="100" w:beforeAutospacing="1" w:after="100" w:afterAutospacing="1"/>
      <w:jc w:val="left"/>
    </w:pPr>
    <w:rPr>
      <w:rFonts w:ascii="宋体" w:hAnsi="宋体" w:cs="宋体"/>
      <w:kern w:val="0"/>
      <w:sz w:val="24"/>
    </w:rPr>
  </w:style>
  <w:style w:type="character" w:customStyle="1" w:styleId="167">
    <w:name w:val="s521"/>
    <w:basedOn w:val="20"/>
    <w:qFormat/>
    <w:uiPriority w:val="0"/>
  </w:style>
  <w:style w:type="paragraph" w:customStyle="1" w:styleId="168">
    <w:name w:val="s501"/>
    <w:basedOn w:val="1"/>
    <w:qFormat/>
    <w:uiPriority w:val="0"/>
    <w:pPr>
      <w:widowControl/>
      <w:spacing w:before="100" w:beforeAutospacing="1" w:after="100" w:afterAutospacing="1"/>
      <w:jc w:val="left"/>
    </w:pPr>
    <w:rPr>
      <w:rFonts w:ascii="宋体" w:hAnsi="宋体" w:cs="宋体"/>
      <w:kern w:val="0"/>
      <w:sz w:val="24"/>
    </w:rPr>
  </w:style>
  <w:style w:type="paragraph" w:customStyle="1" w:styleId="169">
    <w:name w:val="s8"/>
    <w:basedOn w:val="1"/>
    <w:qFormat/>
    <w:uiPriority w:val="0"/>
    <w:pPr>
      <w:widowControl/>
      <w:spacing w:before="100" w:beforeAutospacing="1" w:after="100" w:afterAutospacing="1"/>
      <w:jc w:val="left"/>
    </w:pPr>
    <w:rPr>
      <w:rFonts w:ascii="宋体" w:hAnsi="宋体" w:cs="宋体"/>
      <w:kern w:val="0"/>
      <w:sz w:val="24"/>
    </w:rPr>
  </w:style>
  <w:style w:type="paragraph" w:customStyle="1" w:styleId="170">
    <w:name w:val="s15"/>
    <w:basedOn w:val="1"/>
    <w:qFormat/>
    <w:uiPriority w:val="0"/>
    <w:pPr>
      <w:widowControl/>
      <w:spacing w:before="100" w:beforeAutospacing="1" w:after="100" w:afterAutospacing="1"/>
      <w:jc w:val="left"/>
    </w:pPr>
    <w:rPr>
      <w:rFonts w:ascii="宋体" w:hAnsi="宋体" w:cs="宋体"/>
      <w:kern w:val="0"/>
      <w:sz w:val="24"/>
    </w:rPr>
  </w:style>
  <w:style w:type="character" w:customStyle="1" w:styleId="171">
    <w:name w:val="h3"/>
    <w:basedOn w:val="20"/>
    <w:qFormat/>
    <w:uiPriority w:val="0"/>
  </w:style>
  <w:style w:type="paragraph" w:customStyle="1" w:styleId="172">
    <w:name w:val="s61"/>
    <w:basedOn w:val="1"/>
    <w:qFormat/>
    <w:uiPriority w:val="0"/>
    <w:pPr>
      <w:widowControl/>
      <w:spacing w:before="100" w:beforeAutospacing="1" w:after="100" w:afterAutospacing="1"/>
      <w:jc w:val="left"/>
    </w:pPr>
    <w:rPr>
      <w:rFonts w:ascii="宋体" w:hAnsi="宋体" w:cs="宋体"/>
      <w:kern w:val="0"/>
      <w:sz w:val="24"/>
    </w:rPr>
  </w:style>
  <w:style w:type="character" w:customStyle="1" w:styleId="173">
    <w:name w:val="s26"/>
    <w:basedOn w:val="20"/>
    <w:qFormat/>
    <w:uiPriority w:val="0"/>
  </w:style>
  <w:style w:type="paragraph" w:customStyle="1" w:styleId="174">
    <w:name w:val="s261"/>
    <w:basedOn w:val="1"/>
    <w:qFormat/>
    <w:uiPriority w:val="0"/>
    <w:pPr>
      <w:widowControl/>
      <w:spacing w:before="100" w:beforeAutospacing="1" w:after="100" w:afterAutospacing="1"/>
      <w:jc w:val="left"/>
    </w:pPr>
    <w:rPr>
      <w:rFonts w:ascii="宋体" w:hAnsi="宋体" w:cs="宋体"/>
      <w:kern w:val="0"/>
      <w:sz w:val="24"/>
    </w:rPr>
  </w:style>
  <w:style w:type="paragraph" w:customStyle="1" w:styleId="175">
    <w:name w:val="s291"/>
    <w:basedOn w:val="1"/>
    <w:qFormat/>
    <w:uiPriority w:val="0"/>
    <w:pPr>
      <w:widowControl/>
      <w:spacing w:before="100" w:beforeAutospacing="1" w:after="100" w:afterAutospacing="1"/>
      <w:jc w:val="left"/>
    </w:pPr>
    <w:rPr>
      <w:rFonts w:ascii="宋体" w:hAnsi="宋体" w:cs="宋体"/>
      <w:kern w:val="0"/>
      <w:sz w:val="24"/>
    </w:rPr>
  </w:style>
  <w:style w:type="character" w:customStyle="1" w:styleId="176">
    <w:name w:val="s281"/>
    <w:basedOn w:val="20"/>
    <w:qFormat/>
    <w:uiPriority w:val="0"/>
  </w:style>
  <w:style w:type="paragraph" w:customStyle="1" w:styleId="177">
    <w:name w:val="s211"/>
    <w:basedOn w:val="1"/>
    <w:qFormat/>
    <w:uiPriority w:val="0"/>
    <w:pPr>
      <w:widowControl/>
      <w:spacing w:before="100" w:beforeAutospacing="1" w:after="100" w:afterAutospacing="1"/>
      <w:jc w:val="left"/>
    </w:pPr>
    <w:rPr>
      <w:rFonts w:ascii="宋体" w:hAnsi="宋体" w:cs="宋体"/>
      <w:kern w:val="0"/>
      <w:sz w:val="24"/>
    </w:rPr>
  </w:style>
  <w:style w:type="paragraph" w:customStyle="1" w:styleId="178">
    <w:name w:val="s201"/>
    <w:basedOn w:val="1"/>
    <w:qFormat/>
    <w:uiPriority w:val="0"/>
    <w:pPr>
      <w:widowControl/>
      <w:spacing w:before="100" w:beforeAutospacing="1" w:after="100" w:afterAutospacing="1"/>
      <w:jc w:val="left"/>
    </w:pPr>
    <w:rPr>
      <w:rFonts w:ascii="宋体" w:hAnsi="宋体" w:cs="宋体"/>
      <w:kern w:val="0"/>
      <w:sz w:val="24"/>
    </w:rPr>
  </w:style>
  <w:style w:type="character" w:customStyle="1" w:styleId="179">
    <w:name w:val="s231"/>
    <w:basedOn w:val="20"/>
    <w:qFormat/>
    <w:uiPriority w:val="0"/>
  </w:style>
  <w:style w:type="character" w:customStyle="1" w:styleId="180">
    <w:name w:val="s271"/>
    <w:basedOn w:val="20"/>
    <w:qFormat/>
    <w:uiPriority w:val="0"/>
  </w:style>
  <w:style w:type="character" w:customStyle="1" w:styleId="181">
    <w:name w:val="s301"/>
    <w:basedOn w:val="20"/>
    <w:qFormat/>
    <w:uiPriority w:val="0"/>
  </w:style>
  <w:style w:type="character" w:customStyle="1" w:styleId="182">
    <w:name w:val="s351"/>
    <w:basedOn w:val="20"/>
    <w:qFormat/>
    <w:uiPriority w:val="0"/>
  </w:style>
  <w:style w:type="character" w:customStyle="1" w:styleId="183">
    <w:name w:val="fontstyle01"/>
    <w:basedOn w:val="20"/>
    <w:qFormat/>
    <w:uiPriority w:val="0"/>
    <w:rPr>
      <w:rFonts w:hint="eastAsia" w:ascii="宋体" w:hAnsi="宋体" w:eastAsia="宋体"/>
      <w:color w:val="000000"/>
      <w:sz w:val="22"/>
      <w:szCs w:val="22"/>
    </w:rPr>
  </w:style>
  <w:style w:type="character" w:customStyle="1" w:styleId="184">
    <w:name w:val="fontstyle21"/>
    <w:basedOn w:val="20"/>
    <w:qFormat/>
    <w:uiPriority w:val="0"/>
    <w:rPr>
      <w:rFonts w:hint="default" w:ascii="TimesNewRomanPSMT" w:hAnsi="TimesNewRomanPSMT"/>
      <w:color w:val="0000FF"/>
      <w:sz w:val="22"/>
      <w:szCs w:val="22"/>
    </w:rPr>
  </w:style>
  <w:style w:type="character" w:customStyle="1" w:styleId="185">
    <w:name w:val="fontstyle31"/>
    <w:basedOn w:val="20"/>
    <w:qFormat/>
    <w:uiPriority w:val="0"/>
    <w:rPr>
      <w:rFonts w:hint="default" w:ascii="TimesNewRomanPS-ItalicMT" w:hAnsi="TimesNewRomanPS-ItalicMT"/>
      <w:i/>
      <w:iCs/>
      <w:color w:val="000000"/>
      <w:sz w:val="22"/>
      <w:szCs w:val="22"/>
    </w:rPr>
  </w:style>
  <w:style w:type="character" w:customStyle="1" w:styleId="186">
    <w:name w:val="fontstyle11"/>
    <w:basedOn w:val="20"/>
    <w:qFormat/>
    <w:uiPriority w:val="0"/>
    <w:rPr>
      <w:rFonts w:hint="default" w:ascii="TimesNewRomanPSMT" w:hAnsi="TimesNewRomanPSMT"/>
      <w:color w:val="000000"/>
      <w:sz w:val="22"/>
      <w:szCs w:val="22"/>
    </w:rPr>
  </w:style>
  <w:style w:type="character" w:customStyle="1" w:styleId="187">
    <w:name w:val="fontstyle41"/>
    <w:basedOn w:val="20"/>
    <w:qFormat/>
    <w:uiPriority w:val="0"/>
    <w:rPr>
      <w:rFonts w:hint="default" w:ascii="TimesNewRomanPSMT" w:hAnsi="TimesNewRomanPSMT"/>
      <w:color w:val="000000"/>
      <w:sz w:val="20"/>
      <w:szCs w:val="20"/>
    </w:rPr>
  </w:style>
  <w:style w:type="paragraph" w:customStyle="1" w:styleId="188">
    <w:name w:val="cur"/>
    <w:basedOn w:val="1"/>
    <w:qFormat/>
    <w:uiPriority w:val="0"/>
    <w:pPr>
      <w:widowControl/>
      <w:spacing w:before="100" w:beforeAutospacing="1" w:after="100" w:afterAutospacing="1"/>
      <w:jc w:val="left"/>
    </w:pPr>
    <w:rPr>
      <w:rFonts w:ascii="宋体" w:hAnsi="宋体" w:cs="宋体"/>
      <w:kern w:val="0"/>
      <w:sz w:val="24"/>
    </w:rPr>
  </w:style>
  <w:style w:type="character" w:customStyle="1" w:styleId="189">
    <w:name w:val="shareboard"/>
    <w:basedOn w:val="20"/>
    <w:qFormat/>
    <w:uiPriority w:val="0"/>
  </w:style>
  <w:style w:type="character" w:customStyle="1" w:styleId="190">
    <w:name w:val="msqrt"/>
    <w:basedOn w:val="20"/>
    <w:qFormat/>
    <w:uiPriority w:val="0"/>
  </w:style>
  <w:style w:type="paragraph" w:customStyle="1" w:styleId="191">
    <w:name w:val="ql-align-justify"/>
    <w:basedOn w:val="1"/>
    <w:qFormat/>
    <w:uiPriority w:val="0"/>
    <w:pPr>
      <w:widowControl/>
      <w:spacing w:before="100" w:beforeAutospacing="1" w:after="100" w:afterAutospacing="1"/>
      <w:jc w:val="left"/>
    </w:pPr>
    <w:rPr>
      <w:rFonts w:ascii="宋体" w:hAnsi="宋体" w:cs="宋体"/>
      <w:kern w:val="0"/>
      <w:sz w:val="24"/>
    </w:rPr>
  </w:style>
  <w:style w:type="paragraph" w:customStyle="1" w:styleId="192">
    <w:name w:val="ql-align-center"/>
    <w:basedOn w:val="1"/>
    <w:qFormat/>
    <w:uiPriority w:val="0"/>
    <w:pPr>
      <w:widowControl/>
      <w:spacing w:before="100" w:beforeAutospacing="1" w:after="100" w:afterAutospacing="1"/>
      <w:jc w:val="left"/>
    </w:pPr>
    <w:rPr>
      <w:rFonts w:ascii="宋体" w:hAnsi="宋体" w:cs="宋体"/>
      <w:kern w:val="0"/>
      <w:sz w:val="24"/>
    </w:rPr>
  </w:style>
  <w:style w:type="character" w:customStyle="1" w:styleId="193">
    <w:name w:val="mtext"/>
    <w:basedOn w:val="20"/>
    <w:qFormat/>
    <w:uiPriority w:val="0"/>
  </w:style>
  <w:style w:type="character" w:customStyle="1" w:styleId="194">
    <w:name w:val="正文文本缩进 2 字符"/>
    <w:basedOn w:val="20"/>
    <w:link w:val="10"/>
    <w:semiHidden/>
    <w:qFormat/>
    <w:uiPriority w:val="99"/>
    <w:rPr>
      <w:rFonts w:ascii="Times New Roman" w:hAnsi="Times New Roman" w:eastAsia="宋体" w:cs="Times New Roman"/>
      <w:szCs w:val="24"/>
    </w:rPr>
  </w:style>
  <w:style w:type="character" w:customStyle="1" w:styleId="195">
    <w:name w:val="HTML 预设格式 字符"/>
    <w:basedOn w:val="20"/>
    <w:link w:val="16"/>
    <w:qFormat/>
    <w:uiPriority w:val="0"/>
    <w:rPr>
      <w:rFonts w:ascii="黑体" w:hAnsi="Courier New" w:eastAsia="黑体" w:cs="Courier New"/>
      <w:color w:val="000000"/>
      <w:kern w:val="0"/>
      <w:sz w:val="20"/>
      <w:szCs w:val="20"/>
    </w:rPr>
  </w:style>
  <w:style w:type="character" w:customStyle="1" w:styleId="196">
    <w:name w:val="rowtit"/>
    <w:basedOn w:val="20"/>
    <w:qFormat/>
    <w:uiPriority w:val="0"/>
  </w:style>
  <w:style w:type="character" w:customStyle="1" w:styleId="197">
    <w:name w:val="abstract-text"/>
    <w:basedOn w:val="20"/>
    <w:qFormat/>
    <w:uiPriority w:val="0"/>
  </w:style>
  <w:style w:type="paragraph" w:customStyle="1" w:styleId="198">
    <w:name w:val="keywords"/>
    <w:basedOn w:val="1"/>
    <w:qFormat/>
    <w:uiPriority w:val="0"/>
    <w:pPr>
      <w:widowControl/>
      <w:spacing w:before="100" w:beforeAutospacing="1" w:after="100" w:afterAutospacing="1"/>
      <w:jc w:val="left"/>
    </w:pPr>
    <w:rPr>
      <w:rFonts w:ascii="宋体" w:hAnsi="宋体" w:cs="宋体"/>
      <w:kern w:val="0"/>
      <w:sz w:val="24"/>
    </w:rPr>
  </w:style>
  <w:style w:type="paragraph" w:customStyle="1" w:styleId="199">
    <w:name w:val="code-formula"/>
    <w:basedOn w:val="1"/>
    <w:qFormat/>
    <w:uiPriority w:val="0"/>
    <w:pPr>
      <w:widowControl/>
      <w:spacing w:before="100" w:beforeAutospacing="1" w:after="100" w:afterAutospacing="1"/>
      <w:jc w:val="left"/>
    </w:pPr>
    <w:rPr>
      <w:rFonts w:ascii="宋体" w:hAnsi="宋体" w:cs="宋体"/>
      <w:kern w:val="0"/>
      <w:sz w:val="24"/>
    </w:rPr>
  </w:style>
  <w:style w:type="character" w:customStyle="1" w:styleId="200">
    <w:name w:val="未处理的提及2"/>
    <w:basedOn w:val="20"/>
    <w:semiHidden/>
    <w:unhideWhenUsed/>
    <w:qFormat/>
    <w:uiPriority w:val="99"/>
    <w:rPr>
      <w:color w:val="605E5C"/>
      <w:shd w:val="clear" w:color="auto" w:fill="E1DFDD"/>
    </w:rPr>
  </w:style>
  <w:style w:type="paragraph" w:customStyle="1" w:styleId="201">
    <w:name w:val="Default"/>
    <w:unhideWhenUsed/>
    <w:qFormat/>
    <w:uiPriority w:val="99"/>
    <w:pPr>
      <w:widowControl w:val="0"/>
      <w:autoSpaceDE w:val="0"/>
      <w:autoSpaceDN w:val="0"/>
      <w:adjustRightInd w:val="0"/>
    </w:pPr>
    <w:rPr>
      <w:rFonts w:hint="eastAsia" w:ascii="宋体" w:hAnsi="宋体" w:eastAsia="宋体" w:cs="Times New Roman"/>
      <w:color w:val="000000"/>
      <w:sz w:val="24"/>
      <w:szCs w:val="24"/>
      <w:lang w:val="en-US" w:eastAsia="zh-CN" w:bidi="ar-SA"/>
    </w:rPr>
  </w:style>
  <w:style w:type="paragraph" w:customStyle="1" w:styleId="202">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376092" w:themeColor="accent1" w:themeShade="BF"/>
      <w:kern w:val="0"/>
      <w:sz w:val="32"/>
      <w:szCs w:val="32"/>
    </w:rPr>
  </w:style>
  <w:style w:type="character" w:customStyle="1" w:styleId="203">
    <w:name w:val="Unresolved Mention"/>
    <w:basedOn w:val="20"/>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1" Type="http://schemas.openxmlformats.org/officeDocument/2006/relationships/fontTable" Target="fontTable.xml"/><Relationship Id="rId40" Type="http://schemas.openxmlformats.org/officeDocument/2006/relationships/customXml" Target="../customXml/item2.xml"/><Relationship Id="rId4" Type="http://schemas.openxmlformats.org/officeDocument/2006/relationships/theme" Target="theme/theme1.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06614BF-1805-498F-BA73-BF7C705B37E9}">
  <ds:schemaRefs/>
</ds:datastoreItem>
</file>

<file path=docProps/app.xml><?xml version="1.0" encoding="utf-8"?>
<Properties xmlns="http://schemas.openxmlformats.org/officeDocument/2006/extended-properties" xmlns:vt="http://schemas.openxmlformats.org/officeDocument/2006/docPropsVTypes">
  <Template>Normal.dotm</Template>
  <Company>Win10NeT.COM</Company>
  <Pages>68</Pages>
  <Words>24937</Words>
  <Characters>34871</Characters>
  <Lines>569</Lines>
  <Paragraphs>160</Paragraphs>
  <TotalTime>1</TotalTime>
  <ScaleCrop>false</ScaleCrop>
  <LinksUpToDate>false</LinksUpToDate>
  <CharactersWithSpaces>37252</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2026-05-28T08:56:00Z</dcterms:created>
  <dc:creator>Administrator</dc:creator>
  <cp:lastModifiedBy>MissQ</cp:lastModifiedBy>
  <cp:lastPrinted>2020-12-15T10:48:00Z</cp:lastPrinted>
  <dcterms:modified xsi:type="dcterms:W3CDTF">2026-06-17T01:56:32Z</dcterms:modified>
  <cp:revision>12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3AE4486C19DF41969D7DA831F24E8084_13</vt:lpwstr>
  </property>
  <property fmtid="{D5CDD505-2E9C-101B-9397-08002B2CF9AE}" pid="4" name="KSOTemplateDocerSaveRecord">
    <vt:lpwstr>eyJoZGlkIjoiMjkzNDQ5ODJlOGQ4YWY3ZWFkMjI5NjA2ZDk2Mzg5M2EiLCJ1c2VySWQiOiI0NTUxNTA0NjcifQ==</vt:lpwstr>
  </property>
</Properties>
</file>