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32"/>
          <w:szCs w:val="32"/>
          <w:u w:val="none"/>
          <w:lang w:val="en-US" w:eastAsia="zh-CN" w:bidi="ar"/>
        </w:rPr>
      </w:pPr>
      <w:r>
        <w:rPr>
          <w:rFonts w:hint="eastAsia" w:ascii="黑体" w:hAnsi="黑体" w:eastAsia="黑体" w:cs="黑体"/>
          <w:i w:val="0"/>
          <w:color w:val="000000"/>
          <w:spacing w:val="-6"/>
          <w:kern w:val="0"/>
          <w:sz w:val="32"/>
          <w:szCs w:val="32"/>
          <w:u w:val="none"/>
          <w:lang w:val="en-US" w:eastAsia="zh-CN" w:bidi="ar"/>
        </w:rPr>
        <w:t>附件1</w:t>
      </w:r>
    </w:p>
    <w:p>
      <w:pPr>
        <w:spacing w:beforeLines="0" w:afterLines="0" w:line="400" w:lineRule="exact"/>
        <w:jc w:val="center"/>
        <w:rPr>
          <w:rFonts w:hint="eastAsia" w:ascii="方正小标宋简体" w:hAnsi="方正小标宋简体" w:eastAsia="方正小标宋简体" w:cs="方正小标宋简体"/>
          <w:b w:val="0"/>
          <w:bCs w:val="0"/>
          <w:spacing w:val="0"/>
          <w:sz w:val="44"/>
          <w:szCs w:val="44"/>
          <w:lang w:eastAsia="zh-CN"/>
        </w:rPr>
      </w:pPr>
    </w:p>
    <w:p>
      <w:pPr>
        <w:spacing w:beforeLines="0" w:afterLines="0" w:line="540" w:lineRule="exact"/>
        <w:jc w:val="center"/>
        <w:rPr>
          <w:rFonts w:hint="eastAsia" w:ascii="方正小标宋简体" w:hAnsi="方正小标宋简体" w:eastAsia="方正小标宋简体" w:cs="方正小标宋简体"/>
          <w:b w:val="0"/>
          <w:bCs w:val="0"/>
          <w:spacing w:val="-20"/>
          <w:sz w:val="44"/>
          <w:szCs w:val="44"/>
          <w:lang w:eastAsia="zh-CN"/>
        </w:rPr>
      </w:pPr>
      <w:bookmarkStart w:id="0" w:name="_GoBack"/>
      <w:r>
        <w:rPr>
          <w:rFonts w:hint="eastAsia" w:ascii="方正小标宋简体" w:hAnsi="方正小标宋简体" w:eastAsia="方正小标宋简体" w:cs="方正小标宋简体"/>
          <w:b w:val="0"/>
          <w:bCs w:val="0"/>
          <w:spacing w:val="-20"/>
          <w:sz w:val="44"/>
          <w:szCs w:val="44"/>
          <w:lang w:eastAsia="zh-CN"/>
        </w:rPr>
        <w:t>福建省海洋与渔业局继续有效的规范性文件目录</w:t>
      </w:r>
    </w:p>
    <w:p>
      <w:pPr>
        <w:spacing w:beforeLines="0" w:afterLines="0" w:line="54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2024年11</w:t>
      </w:r>
      <w:r>
        <w:rPr>
          <w:rFonts w:hint="default" w:ascii="方正小标宋简体" w:hAnsi="方正小标宋简体" w:eastAsia="方正小标宋简体" w:cs="方正小标宋简体"/>
          <w:b w:val="0"/>
          <w:bCs w:val="0"/>
          <w:sz w:val="44"/>
          <w:szCs w:val="44"/>
          <w:lang w:val="en" w:eastAsia="zh-CN"/>
        </w:rPr>
        <w:t>月</w:t>
      </w:r>
      <w:r>
        <w:rPr>
          <w:rFonts w:hint="eastAsia" w:ascii="方正小标宋简体" w:hAnsi="方正小标宋简体" w:eastAsia="方正小标宋简体" w:cs="方正小标宋简体"/>
          <w:b w:val="0"/>
          <w:bCs w:val="0"/>
          <w:sz w:val="44"/>
          <w:szCs w:val="44"/>
          <w:lang w:val="en-US" w:eastAsia="zh-CN"/>
        </w:rPr>
        <w:t>之前</w:t>
      </w:r>
      <w:r>
        <w:rPr>
          <w:rFonts w:hint="eastAsia" w:ascii="方正小标宋简体" w:hAnsi="方正小标宋简体" w:eastAsia="方正小标宋简体" w:cs="方正小标宋简体"/>
          <w:b w:val="0"/>
          <w:bCs w:val="0"/>
          <w:sz w:val="44"/>
          <w:szCs w:val="44"/>
          <w:lang w:eastAsia="zh-CN"/>
        </w:rPr>
        <w:t>）</w:t>
      </w:r>
      <w:bookmarkEnd w:id="0"/>
    </w:p>
    <w:tbl>
      <w:tblPr>
        <w:tblStyle w:val="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667"/>
        <w:gridCol w:w="6230"/>
        <w:gridCol w:w="1882"/>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序号</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文件标题</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eastAsia="仿宋_GB2312" w:cs="仿宋_GB2312"/>
                <w:b/>
                <w:bCs/>
                <w:i w:val="0"/>
                <w:color w:val="000000"/>
                <w:spacing w:val="-6"/>
                <w:kern w:val="0"/>
                <w:sz w:val="20"/>
                <w:szCs w:val="20"/>
                <w:u w:val="none"/>
                <w:lang w:val="en-US" w:eastAsia="zh-CN" w:bidi="ar"/>
              </w:rPr>
            </w:pPr>
            <w:r>
              <w:rPr>
                <w:rFonts w:hint="eastAsia" w:ascii="仿宋_GB2312" w:hAnsi="宋体" w:cs="仿宋_GB2312"/>
                <w:b/>
                <w:bCs/>
                <w:i w:val="0"/>
                <w:color w:val="000000"/>
                <w:spacing w:val="-6"/>
                <w:kern w:val="0"/>
                <w:sz w:val="20"/>
                <w:szCs w:val="20"/>
                <w:u w:val="none"/>
                <w:lang w:val="en-US" w:eastAsia="zh-CN" w:bidi="ar"/>
              </w:rPr>
              <w:t>文号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b/>
                <w:bCs/>
                <w:szCs w:val="32"/>
                <w:vertAlign w:val="baseline"/>
                <w:lang w:eastAsia="zh-CN"/>
              </w:rPr>
            </w:pPr>
            <w:r>
              <w:rPr>
                <w:rFonts w:hint="eastAsia" w:ascii="仿宋_GB2312" w:hAnsi="宋体" w:cs="仿宋_GB2312"/>
                <w:b/>
                <w:bCs/>
                <w:i w:val="0"/>
                <w:color w:val="000000"/>
                <w:spacing w:val="-6"/>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关于加强海洋捕捞渔船组织化建设的指导意见</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闽海渔规〔2023〕1号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关于调整海洋伏季休渔制度的通告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US"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w:t>
            </w:r>
            <w:r>
              <w:rPr>
                <w:rFonts w:hint="default" w:ascii="仿宋_GB2312" w:hAnsi="宋体" w:eastAsia="仿宋_GB2312" w:cs="仿宋_GB2312"/>
                <w:i w:val="0"/>
                <w:color w:val="000000"/>
                <w:spacing w:val="-6"/>
                <w:kern w:val="0"/>
                <w:sz w:val="20"/>
                <w:szCs w:val="20"/>
                <w:u w:val="none"/>
                <w:lang w:val="en" w:eastAsia="zh-CN" w:bidi="ar"/>
              </w:rPr>
              <w:t>2</w:t>
            </w:r>
            <w:r>
              <w:rPr>
                <w:rFonts w:hint="default" w:ascii="仿宋_GB2312" w:hAnsi="宋体" w:eastAsia="仿宋_GB2312" w:cs="仿宋_GB2312"/>
                <w:i w:val="0"/>
                <w:color w:val="000000"/>
                <w:spacing w:val="-6"/>
                <w:kern w:val="0"/>
                <w:sz w:val="20"/>
                <w:szCs w:val="20"/>
                <w:u w:val="none"/>
                <w:lang w:val="en-US" w:eastAsia="zh-CN" w:bidi="ar"/>
              </w:rPr>
              <w:t>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关于印发福建省近岸海域赤潮灾害渔业应急预案的通知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〔2023〕3</w:t>
            </w:r>
            <w:r>
              <w:rPr>
                <w:rFonts w:hint="default" w:ascii="仿宋_GB2312" w:hAnsi="宋体" w:eastAsia="仿宋_GB2312" w:cs="仿宋_GB2312"/>
                <w:i w:val="0"/>
                <w:color w:val="000000"/>
                <w:spacing w:val="-6"/>
                <w:kern w:val="0"/>
                <w:sz w:val="20"/>
                <w:szCs w:val="20"/>
                <w:u w:val="none"/>
                <w:lang w:val="en" w:eastAsia="zh-CN" w:bidi="ar"/>
              </w:rPr>
              <w:t>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 w:eastAsia="zh-CN" w:bidi="ar"/>
              </w:rPr>
              <w:t>福建省海洋与渔业局福建省财政厅关于印发海洋捕捞渔民减船转产产项目2023-2024年实施方案的通知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w:t>
            </w:r>
            <w:r>
              <w:rPr>
                <w:rFonts w:hint="eastAsia" w:ascii="仿宋_GB2312" w:hAnsi="宋体" w:eastAsia="仿宋_GB2312" w:cs="仿宋_GB2312"/>
                <w:i w:val="0"/>
                <w:color w:val="000000"/>
                <w:spacing w:val="-6"/>
                <w:kern w:val="0"/>
                <w:sz w:val="20"/>
                <w:szCs w:val="20"/>
                <w:u w:val="none"/>
                <w:lang w:val="en-US" w:eastAsia="zh-CN" w:bidi="ar"/>
              </w:rPr>
              <w:t>〔2023〕</w:t>
            </w:r>
            <w:r>
              <w:rPr>
                <w:rFonts w:hint="default" w:ascii="仿宋_GB2312" w:hAnsi="宋体" w:eastAsia="仿宋_GB2312" w:cs="仿宋_GB2312"/>
                <w:i w:val="0"/>
                <w:color w:val="000000"/>
                <w:spacing w:val="-6"/>
                <w:kern w:val="0"/>
                <w:sz w:val="20"/>
                <w:szCs w:val="20"/>
                <w:u w:val="none"/>
                <w:lang w:val="en" w:eastAsia="zh-CN" w:bidi="ar"/>
              </w:rPr>
              <w:t>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cs="仿宋_GB2312"/>
                <w:i w:val="0"/>
                <w:color w:val="000000"/>
                <w:spacing w:val="-6"/>
                <w:kern w:val="0"/>
                <w:sz w:val="20"/>
                <w:szCs w:val="20"/>
                <w:u w:val="none"/>
                <w:lang w:val="en" w:eastAsia="zh-CN" w:bidi="ar"/>
              </w:rPr>
              <w:t>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福建省海洋与渔业局关于印发福建省风暴潮灾害应急预案的通知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闽海渔规〔2023〕5号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福建省海洋与渔业局关于印发福建省渔业防台风应急预案的通知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cs="仿宋_GB2312"/>
                <w:b/>
                <w:bCs/>
                <w:i w:val="0"/>
                <w:color w:val="000000"/>
                <w:spacing w:val="-6"/>
                <w:kern w:val="0"/>
                <w:sz w:val="20"/>
                <w:szCs w:val="20"/>
                <w:u w:val="none"/>
                <w:lang w:val="en-US" w:eastAsia="zh-CN" w:bidi="ar"/>
              </w:rPr>
            </w:pPr>
            <w:r>
              <w:rPr>
                <w:rFonts w:hint="default" w:ascii="仿宋_GB2312" w:hAnsi="宋体" w:eastAsia="仿宋_GB2312" w:cs="仿宋_GB2312"/>
                <w:i w:val="0"/>
                <w:color w:val="000000"/>
                <w:spacing w:val="-6"/>
                <w:kern w:val="0"/>
                <w:sz w:val="20"/>
                <w:szCs w:val="20"/>
                <w:u w:val="none"/>
                <w:lang w:val="en" w:eastAsia="zh-CN" w:bidi="ar"/>
              </w:rPr>
              <w:t>闽海渔规〔2023〕6号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7</w:t>
            </w:r>
          </w:p>
        </w:tc>
        <w:tc>
          <w:tcPr>
            <w:tcW w:w="6230" w:type="dxa"/>
            <w:noWrap w:val="0"/>
            <w:vAlign w:val="center"/>
          </w:tcPr>
          <w:p>
            <w:pPr>
              <w:keepNext w:val="0"/>
              <w:keepLines w:val="0"/>
              <w:widowControl/>
              <w:suppressLineNumbers w:val="0"/>
              <w:spacing w:line="280" w:lineRule="exact"/>
              <w:jc w:val="both"/>
              <w:textAlignment w:val="center"/>
              <w:outlineLvl w:val="9"/>
              <w:rPr>
                <w:rFonts w:ascii="仿宋_GB2312" w:hAnsi="宋体" w:cs="仿宋_GB2312"/>
                <w:color w:val="000000"/>
                <w:kern w:val="0"/>
                <w:sz w:val="20"/>
                <w:lang w:val="en" w:bidi="ar"/>
              </w:rPr>
            </w:pPr>
            <w:r>
              <w:rPr>
                <w:rFonts w:ascii="仿宋_GB2312" w:hAnsi="宋体" w:eastAsia="仿宋_GB2312" w:cs="仿宋_GB2312"/>
                <w:i w:val="0"/>
                <w:caps w:val="0"/>
                <w:color w:val="000000"/>
                <w:spacing w:val="-6"/>
                <w:kern w:val="0"/>
                <w:sz w:val="20"/>
                <w:szCs w:val="20"/>
                <w:shd w:val="clear" w:color="auto" w:fill="auto"/>
                <w:lang w:val="en" w:eastAsia="zh-CN" w:bidi="ar"/>
              </w:rPr>
              <w:t>福建省海洋与渔业局关于公布2023年8月之前行政规范性文件清理结果的通知</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default" w:ascii="仿宋_GB2312" w:hAnsi="宋体" w:eastAsia="仿宋_GB2312" w:cs="仿宋_GB2312"/>
                <w:i w:val="0"/>
                <w:color w:val="000000"/>
                <w:spacing w:val="-6"/>
                <w:kern w:val="0"/>
                <w:sz w:val="20"/>
                <w:szCs w:val="20"/>
                <w:u w:val="none"/>
                <w:lang w:val="en" w:eastAsia="zh-CN" w:bidi="ar"/>
              </w:rPr>
            </w:pPr>
            <w:r>
              <w:rPr>
                <w:rFonts w:hint="default" w:ascii="仿宋_GB2312" w:hAnsi="宋体" w:eastAsia="仿宋_GB2312" w:cs="仿宋_GB2312"/>
                <w:i w:val="0"/>
                <w:color w:val="000000"/>
                <w:spacing w:val="-6"/>
                <w:kern w:val="0"/>
                <w:sz w:val="20"/>
                <w:szCs w:val="20"/>
                <w:u w:val="none"/>
                <w:lang w:val="en" w:eastAsia="zh-CN" w:bidi="ar"/>
              </w:rPr>
              <w:t>闽海渔规〔2023〕</w:t>
            </w:r>
            <w:r>
              <w:rPr>
                <w:rFonts w:hint="eastAsia" w:ascii="仿宋_GB2312" w:hAnsi="宋体" w:cs="仿宋_GB2312"/>
                <w:i w:val="0"/>
                <w:color w:val="000000"/>
                <w:spacing w:val="-6"/>
                <w:kern w:val="0"/>
                <w:sz w:val="20"/>
                <w:szCs w:val="20"/>
                <w:u w:val="none"/>
                <w:lang w:val="en-US" w:eastAsia="zh-CN" w:bidi="ar"/>
              </w:rPr>
              <w:t>7</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hAnsi="宋体" w:cs="仿宋_GB2312"/>
                <w:b/>
                <w:bCs/>
                <w:i w:val="0"/>
                <w:color w:val="000000"/>
                <w:spacing w:val="-6"/>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eastAsia" w:ascii="仿宋_GB2312" w:hAnsi="宋体" w:cs="仿宋_GB2312"/>
                <w:i w:val="0"/>
                <w:color w:val="000000"/>
                <w:spacing w:val="-6"/>
                <w:kern w:val="0"/>
                <w:sz w:val="20"/>
                <w:szCs w:val="20"/>
                <w:u w:val="none"/>
                <w:lang w:val="en-US" w:eastAsia="zh-CN" w:bidi="ar"/>
              </w:rPr>
              <w:t>8</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福建省海洋与渔业局关于印发《福建省渔业船舶水上突发事件应急预案》的通知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w:t>
            </w:r>
            <w:r>
              <w:rPr>
                <w:rStyle w:val="7"/>
                <w:rFonts w:hint="eastAsia" w:ascii="仿宋_GB2312" w:hAnsi="宋体" w:cs="仿宋_GB2312"/>
                <w:color w:val="000000"/>
                <w:spacing w:val="-6"/>
                <w:kern w:val="0"/>
                <w:sz w:val="20"/>
                <w:szCs w:val="20"/>
                <w:u w:val="none"/>
                <w:lang w:val="en-US" w:eastAsia="zh-CN" w:bidi="ar"/>
              </w:rPr>
              <w:t>〔2022〕1号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 w:eastAsia="zh-CN" w:bidi="ar"/>
              </w:rPr>
            </w:pPr>
            <w:r>
              <w:rPr>
                <w:rFonts w:hint="eastAsia" w:ascii="仿宋_GB2312" w:hAnsi="宋体" w:cs="仿宋_GB2312"/>
                <w:i w:val="0"/>
                <w:color w:val="000000"/>
                <w:spacing w:val="-6"/>
                <w:kern w:val="0"/>
                <w:sz w:val="20"/>
                <w:szCs w:val="20"/>
                <w:u w:val="none"/>
                <w:lang w:val="en-US" w:eastAsia="zh-CN" w:bidi="ar"/>
              </w:rPr>
              <w:t>9</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福建省财政厅关于印发福建省海洋渔业资源养护补贴政策实施方案的通知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10</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福建省海洋与渔业局关于印发福建省渔业捕捞作业核准规则的通知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11</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福建省海洋与渔业局关于开展福建省海洋渔船卫星互联网应用项目工作的指导意见</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闽海渔规〔2022〕6号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12</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福建省海洋与渔业局福建省财政厅关于印发〈福建省推动远洋渔业高质量发展补助资金项目实施方案〉的通知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闽海渔规〔2022〕7号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13</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福建省海洋与渔业局关于印发&lt;福建省渔业安全生产承诺制度（试行）&gt;通知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14</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福建省财政厅关于海洋渔业资源养护补贴政策调整的补充通知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闽海渔规〔2022〕9号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15</w:t>
            </w:r>
          </w:p>
        </w:tc>
        <w:tc>
          <w:tcPr>
            <w:tcW w:w="6230"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aps w:val="0"/>
                <w:color w:val="000000"/>
                <w:spacing w:val="-6"/>
                <w:kern w:val="0"/>
                <w:sz w:val="20"/>
                <w:szCs w:val="20"/>
                <w:shd w:val="clear" w:color="auto" w:fill="auto"/>
                <w:lang w:val="en-US" w:eastAsia="zh-CN" w:bidi="ar"/>
              </w:rPr>
              <w:t>福建省海洋与渔业局关于印发《福建省渔业船舶安全救助终端管理办法》的通知</w:t>
            </w:r>
          </w:p>
        </w:tc>
        <w:tc>
          <w:tcPr>
            <w:tcW w:w="1882" w:type="dxa"/>
            <w:noWrap w:val="0"/>
            <w:vAlign w:val="center"/>
          </w:tcPr>
          <w:p>
            <w:pPr>
              <w:keepNext w:val="0"/>
              <w:keepLines w:val="0"/>
              <w:widowControl/>
              <w:suppressLineNumbers w:val="0"/>
              <w:spacing w:line="280" w:lineRule="exact"/>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aps w:val="0"/>
                <w:color w:val="000000"/>
                <w:spacing w:val="-6"/>
                <w:kern w:val="0"/>
                <w:sz w:val="20"/>
                <w:szCs w:val="20"/>
                <w:shd w:val="clear" w:color="auto" w:fill="auto"/>
                <w:lang w:val="en-US" w:eastAsia="zh-CN" w:bidi="ar"/>
              </w:rPr>
              <w:t>闽海渔规〔2022〕10号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福建省海洋与渔业局关于加强渔船安全生产“五不出海”管理的通知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闽海渔〔2021〕21号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w w:val="93"/>
                <w:kern w:val="0"/>
                <w:sz w:val="20"/>
                <w:szCs w:val="20"/>
                <w:u w:val="none"/>
                <w:lang w:val="en-US" w:eastAsia="zh-CN" w:bidi="ar"/>
              </w:rPr>
              <w:t>福建省海洋与渔业局关于福建省渔业船舶安全生产记分管理办法（试行）</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闽海渔〔2021〕31号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福建省海洋与渔业局关于发布闽江水域禁渔期制度的通告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闽海渔〔2020〕13号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tc>
        <w:tc>
          <w:tcPr>
            <w:tcW w:w="6230" w:type="dxa"/>
            <w:noWrap w:val="0"/>
            <w:vAlign w:val="center"/>
          </w:tcPr>
          <w:p/>
        </w:tc>
        <w:tc>
          <w:tcPr>
            <w:tcW w:w="1882" w:type="dxa"/>
            <w:noWrap w:val="0"/>
            <w:vAlign w:val="center"/>
          </w:tcPr>
          <w:p/>
        </w:tc>
        <w:tc>
          <w:tcPr>
            <w:tcW w:w="60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福建省海洋与渔业局福建省防汛抗旱指挥部办公室福建省应急管理厅福建海事局关于印发《关于加强防台风期间渔船异地避风管理的十条措施》的通知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闽海渔〔2020〕28号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  福建省发展和改革委员会福建省财政厅关于印发《福建省渔港投资与建设管理办法》的通知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闽海渔〔2020〕49号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福建省海洋与渔业局关于印发福建省渔业水域污染事故应急处置工作方案（暂行）的通知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闽海渔〔2020〕59号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福建省海洋与渔业局关于印发《福建省实施&lt;中华人民共和国渔业法&gt;办法》行政处罚自由裁量适用规则（试行）及其基准的通知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闽海渔〔2020〕64号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福建省海洋与渔业局关于加快水产养殖业绿色发展十三条措施的通知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eastAsia="仿宋_GB2312"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福建省海洋与渔业局关于建立行政执法“三项制度”体系的通知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147号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关于印发《福建省渔港升级改造和整治维护规划》《福建省渔港升级改造和整治维护项目实施管理细则（试行）》的通知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福建省海洋与渔业厅关于印发福建省休闲垂钓渔业船舶管理办法（试行）的通知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116号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福建省海洋与渔业厅关于实施带鱼等35种重要捕捞经济种类最小可捕规格及幼鱼（幼体）比例管理规定的通告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114号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28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福建省海洋与渔业厅关于公布福建省第一批休闲渔业船舶标准船型的通知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288号 </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29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福建省海洋与渔业厅关于印发《福建省初级水产品质量安全突发事件应急预案》的通知 </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282号 </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关于印发福建省海洋与渔业应急指挥决策支持系统管理办法的通知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268号</w:t>
            </w:r>
          </w:p>
        </w:tc>
        <w:tc>
          <w:tcPr>
            <w:tcW w:w="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color w:val="FF0000"/>
                <w:kern w:val="0"/>
                <w:sz w:val="20"/>
                <w:szCs w:val="20"/>
                <w:vertAlign w:val="baseli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福建省海洋与渔业厅关于公布福建省第一批渔船标准船型的通知 </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243号 </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福建省海洋与渔业厅关于加强海洋渔业捕捞辅助船管理工作的通知 </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183号 </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福建省海洋与渔业厅关于开展渔业船舶建造技术条件评价工作的通知 </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85号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福建省海洋与渔业厅关于进一步加强远洋渔业安全生产管理工作的通知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25号 </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szCs w:val="32"/>
                <w:vertAlign w:val="baseline"/>
                <w:lang w:val="en-US" w:eastAsia="zh-CN"/>
              </w:rPr>
            </w:pPr>
            <w:r>
              <w:rPr>
                <w:rFonts w:hint="eastAsia" w:ascii="仿宋_GB2312" w:hAnsi="宋体" w:cs="仿宋_GB2312"/>
                <w:color w:val="000000"/>
                <w:kern w:val="0"/>
                <w:sz w:val="20"/>
                <w:szCs w:val="20"/>
                <w:vertAlign w:val="baseline"/>
                <w:lang w:val="en-US" w:eastAsia="zh-CN" w:bidi="ar"/>
              </w:rPr>
              <w:t>35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福建省海洋与渔业厅关于远洋渔业企业落实全员安全生产责任制的指导意见</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252号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福建省海洋与渔业厅关于印发福建省渔港安全事故应急预案的通知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249号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福建省海洋与渔业厅关于印发标准化海洋捕捞渔船更新改造基本规范及技术要求的通知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232号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38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福建省海洋与渔业厅关于印发《福建省水生野生动物救护管理办法》的通知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39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  福建省财政厅关于印发《福建省渔业油价补贴政策调整实施方案》的通知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福建省海洋与渔业厅关于做好公海灯光围网渔船渔具渔法管理工作的通知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 福建省财政厅关于印发福建省国内捕捞和养殖机动渔船油价补贴标准调整实施方案的通知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43号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福建省海洋与渔业厅关于印发《福建省实施&lt;中华人民共和国渔业船员管理办法&gt;若干规定》的通知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cs="仿宋_GB2312"/>
                <w:i w:val="0"/>
                <w:color w:val="000000"/>
                <w:spacing w:val="-6"/>
                <w:kern w:val="0"/>
                <w:sz w:val="20"/>
                <w:szCs w:val="20"/>
                <w:u w:val="none"/>
                <w:lang w:val="en-US" w:eastAsia="zh-CN" w:bidi="ar"/>
              </w:rPr>
              <w:t>福建省海洋与渔业厅 福建省发展和改革委员会</w:t>
            </w:r>
            <w:r>
              <w:rPr>
                <w:rFonts w:hint="eastAsia" w:ascii="仿宋_GB2312" w:hAnsi="宋体" w:eastAsia="仿宋_GB2312" w:cs="仿宋_GB2312"/>
                <w:i w:val="0"/>
                <w:color w:val="000000"/>
                <w:spacing w:val="-6"/>
                <w:kern w:val="0"/>
                <w:sz w:val="20"/>
                <w:szCs w:val="20"/>
                <w:u w:val="none"/>
                <w:lang w:val="en-US" w:eastAsia="zh-CN" w:bidi="ar"/>
              </w:rPr>
              <w:t>关于印发</w:t>
            </w:r>
            <w:r>
              <w:rPr>
                <w:rFonts w:hint="eastAsia" w:ascii="仿宋_GB2312" w:hAnsi="宋体" w:cs="仿宋_GB2312"/>
                <w:i w:val="0"/>
                <w:color w:val="000000"/>
                <w:spacing w:val="-6"/>
                <w:kern w:val="0"/>
                <w:sz w:val="20"/>
                <w:szCs w:val="20"/>
                <w:u w:val="none"/>
                <w:lang w:val="en-US" w:eastAsia="zh-CN" w:bidi="ar"/>
              </w:rPr>
              <w:t>福建</w:t>
            </w:r>
            <w:r>
              <w:rPr>
                <w:rFonts w:hint="eastAsia" w:ascii="仿宋_GB2312" w:hAnsi="宋体" w:eastAsia="仿宋_GB2312" w:cs="仿宋_GB2312"/>
                <w:i w:val="0"/>
                <w:color w:val="000000"/>
                <w:spacing w:val="-6"/>
                <w:kern w:val="0"/>
                <w:sz w:val="20"/>
                <w:szCs w:val="20"/>
                <w:u w:val="none"/>
                <w:lang w:val="en-US" w:eastAsia="zh-CN" w:bidi="ar"/>
              </w:rPr>
              <w:t>省海洋产业发展指导目录</w:t>
            </w:r>
            <w:r>
              <w:rPr>
                <w:rFonts w:hint="eastAsia" w:ascii="仿宋_GB2312" w:hAnsi="宋体" w:cs="仿宋_GB2312"/>
                <w:i w:val="0"/>
                <w:color w:val="000000"/>
                <w:spacing w:val="-6"/>
                <w:kern w:val="0"/>
                <w:sz w:val="20"/>
                <w:szCs w:val="20"/>
                <w:u w:val="none"/>
                <w:lang w:val="en-US" w:eastAsia="zh-CN" w:bidi="ar"/>
              </w:rPr>
              <w:t>的</w:t>
            </w:r>
            <w:r>
              <w:rPr>
                <w:rFonts w:hint="eastAsia" w:ascii="仿宋_GB2312" w:hAnsi="宋体" w:eastAsia="仿宋_GB2312" w:cs="仿宋_GB2312"/>
                <w:i w:val="0"/>
                <w:color w:val="000000"/>
                <w:spacing w:val="-6"/>
                <w:kern w:val="0"/>
                <w:sz w:val="20"/>
                <w:szCs w:val="20"/>
                <w:u w:val="none"/>
                <w:lang w:val="en-US" w:eastAsia="zh-CN" w:bidi="ar"/>
              </w:rPr>
              <w:t>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280号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福建省海洋与渔业厅关于进一步加强渔业船舶非法违规生产处置的意见</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45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福建省海洋与渔业厅关于执行海洋捕捞渔船拆解有关规定的通知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福建省海洋与渔业厅关于印发非法采捕红珊瑚船舶和涉渔“三无”船舶拆解工作规程（暂行）的通知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2015</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40号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eastAsia="仿宋_GB2312"/>
                <w:color w:val="000000"/>
                <w:szCs w:val="32"/>
                <w:vertAlign w:val="baseline"/>
                <w:lang w:val="en-US" w:eastAsia="zh-CN"/>
              </w:rPr>
            </w:pPr>
            <w:r>
              <w:rPr>
                <w:rFonts w:hint="eastAsia" w:ascii="仿宋_GB2312" w:hAnsi="宋体" w:cs="仿宋_GB2312"/>
                <w:color w:val="000000"/>
                <w:kern w:val="0"/>
                <w:sz w:val="20"/>
                <w:szCs w:val="20"/>
                <w:vertAlign w:val="baseline"/>
                <w:lang w:val="en-US" w:eastAsia="zh-CN" w:bidi="ar"/>
              </w:rPr>
              <w:t>47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福建省海洋与渔业厅关于执行《福建省海洋捕捞渔船拆解管理暂行规定》有关条款的批复</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color w:val="FF0000"/>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福建省海洋与渔业厅关于印发《福建省海洋与渔业厅工商登记制度改革后续市场监管实施办法（试行）》的通知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173号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49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w:t>
            </w:r>
            <w:r>
              <w:rPr>
                <w:rFonts w:hint="eastAsia" w:ascii="仿宋_GB2312" w:hAnsi="宋体" w:cs="仿宋_GB2312"/>
                <w:i w:val="0"/>
                <w:color w:val="000000"/>
                <w:spacing w:val="-6"/>
                <w:kern w:val="0"/>
                <w:sz w:val="20"/>
                <w:szCs w:val="20"/>
                <w:u w:val="none"/>
                <w:lang w:val="en-US" w:eastAsia="zh-CN" w:bidi="ar"/>
              </w:rPr>
              <w:t xml:space="preserve"> </w:t>
            </w:r>
            <w:r>
              <w:rPr>
                <w:rFonts w:hint="eastAsia" w:ascii="仿宋_GB2312" w:hAnsi="宋体" w:eastAsia="仿宋_GB2312" w:cs="仿宋_GB2312"/>
                <w:i w:val="0"/>
                <w:color w:val="000000"/>
                <w:spacing w:val="-6"/>
                <w:kern w:val="0"/>
                <w:sz w:val="20"/>
                <w:szCs w:val="20"/>
                <w:u w:val="none"/>
                <w:lang w:val="en-US" w:eastAsia="zh-CN" w:bidi="ar"/>
              </w:rPr>
              <w:t>福建省工商局关于推行使用《福建省渔业船舶买卖合同示范文本》的通知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53号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color w:val="000000"/>
                <w:szCs w:val="32"/>
                <w:vertAlign w:val="baseline"/>
                <w:lang w:val="en-US"/>
              </w:rPr>
            </w:pPr>
            <w:r>
              <w:rPr>
                <w:rFonts w:hint="eastAsia" w:ascii="仿宋_GB2312" w:hAnsi="宋体" w:cs="仿宋_GB2312"/>
                <w:i w:val="0"/>
                <w:color w:val="000000"/>
                <w:spacing w:val="-6"/>
                <w:kern w:val="0"/>
                <w:sz w:val="20"/>
                <w:szCs w:val="20"/>
                <w:u w:val="none"/>
                <w:lang w:val="en-US" w:eastAsia="zh-CN" w:bidi="ar"/>
              </w:rPr>
              <w:t>50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福建省海洋与渔业厅关于进一步规范海洋捕捞渔船拆解管理工作的通知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color w:val="000000"/>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3"/>
                <w:kern w:val="0"/>
                <w:sz w:val="20"/>
                <w:szCs w:val="20"/>
                <w:u w:val="none"/>
                <w:lang w:val="en-US" w:eastAsia="zh-CN" w:bidi="ar"/>
              </w:rPr>
              <w:t>福建省海洋与渔业厅关于建立健全远洋渔业安全生产相关管理制度的通知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福建省海洋与渔业厅关于加强远洋渔业涉外安全管理的通知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416号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福建省海洋与渔业厅关于印发《福建省海洋与渔业厅突发水生动物疫情应急预案》的通知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415号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福建省海洋与渔业厅关于进一步加强和规范渔业船舶水上事故调查处理工作的意见</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2012</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92号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福建省海洋与渔业厅关于印发福建省水产苗种场认定管理办法的通知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299号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
              </w:rPr>
            </w:pPr>
            <w:r>
              <w:rPr>
                <w:rFonts w:hint="eastAsia" w:ascii="仿宋_GB2312" w:hAnsi="宋体" w:cs="仿宋_GB2312"/>
                <w:i w:val="0"/>
                <w:color w:val="000000"/>
                <w:spacing w:val="-6"/>
                <w:kern w:val="0"/>
                <w:sz w:val="20"/>
                <w:szCs w:val="20"/>
                <w:u w:val="none"/>
                <w:lang w:val="en-US" w:eastAsia="zh-CN" w:bidi="ar"/>
              </w:rPr>
              <w:t>56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福建省海洋与渔业厅关于开展渔港经营许可申请与审批工作的通知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224号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福建省海洋与渔业厅关于印发《福建省水生生物增殖放流工作规范》的通知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144号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tc>
        <w:tc>
          <w:tcPr>
            <w:tcW w:w="6230" w:type="dxa"/>
            <w:noWrap w:val="0"/>
            <w:vAlign w:val="center"/>
          </w:tcPr>
          <w:p/>
        </w:tc>
        <w:tc>
          <w:tcPr>
            <w:tcW w:w="1882" w:type="dxa"/>
            <w:noWrap w:val="0"/>
            <w:vAlign w:val="center"/>
          </w:tcPr>
          <w:p/>
        </w:tc>
        <w:tc>
          <w:tcPr>
            <w:tcW w:w="60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福建省海洋与渔业厅关于印发《福建省渔业船舶船名规定》的通知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108号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59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福建省海洋与渔业厅关于加强鳗鲡鱼种管理工作的通知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福建省海洋与渔业厅关于加强远洋渔业管理若干规定的补充通知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28号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福建省海洋与渔业厅关于印发《福建省渔业捕捞许可申请与审批暂行办法》的通知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397号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cs="仿宋_GB2312"/>
                <w:i w:val="0"/>
                <w:color w:val="000000"/>
                <w:spacing w:val="-6"/>
                <w:kern w:val="0"/>
                <w:sz w:val="20"/>
                <w:szCs w:val="20"/>
                <w:u w:val="none"/>
                <w:lang w:val="en-US" w:eastAsia="zh-CN" w:bidi="ar"/>
              </w:rPr>
              <w:t>福建省海洋与渔业厅</w:t>
            </w:r>
            <w:r>
              <w:rPr>
                <w:rFonts w:hint="eastAsia" w:ascii="仿宋_GB2312" w:hAnsi="宋体" w:eastAsia="仿宋_GB2312" w:cs="仿宋_GB2312"/>
                <w:i w:val="0"/>
                <w:color w:val="000000"/>
                <w:spacing w:val="-6"/>
                <w:kern w:val="0"/>
                <w:sz w:val="20"/>
                <w:szCs w:val="20"/>
                <w:u w:val="none"/>
                <w:lang w:val="en-US" w:eastAsia="zh-CN" w:bidi="ar"/>
              </w:rPr>
              <w:t>转发福建省人民政府办公厅关于加强渔业安全生产工作的通知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381号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福建省海洋与渔业厅关于加强渔业生产服务船和养殖船管理的通知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360号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福建省海洋与渔业厅关于印发福建省海洋与渔业行政执法督察暂行规定的通知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271号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65</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福建省海洋与渔业局印发关于加强远洋渔业管理若干规定的通知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66</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福建省海洋与渔业局关于调整鳗鲡苗种采捕时间的通告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386号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67</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福建省海洋与渔业局关于印发《福建省沿海渔村渔船安全协管员管理办法》的通知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302号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68</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3"/>
                <w:kern w:val="0"/>
                <w:sz w:val="20"/>
                <w:szCs w:val="20"/>
                <w:u w:val="none"/>
                <w:lang w:val="en-US" w:eastAsia="zh-CN" w:bidi="ar"/>
              </w:rPr>
              <w:t>关于印发《福建省远洋渔船涉外突发事件处置预案》的通知（联合外事）</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217号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69</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w w:val="95"/>
                <w:kern w:val="0"/>
                <w:sz w:val="20"/>
                <w:szCs w:val="20"/>
                <w:u w:val="none"/>
                <w:lang w:val="en-US" w:eastAsia="zh-CN" w:bidi="ar"/>
              </w:rPr>
              <w:t>福建省海洋与渔业局关于印发《福建省小型渔业船舶管理办法》的通知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2008</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215号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70</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关于发布福建省机动底拖网作业禁渔区的通告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2007</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184号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71</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福建省海洋与渔业局关于公布福建省渔业捕捞禁止和限制使用渔具法目录的通告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highlight w:val="none"/>
                <w:u w:val="none"/>
                <w:lang w:val="en-US" w:eastAsia="zh-CN" w:bidi="ar"/>
              </w:rPr>
              <w:t>闽海渔</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2006</w:t>
            </w:r>
            <w:r>
              <w:rPr>
                <w:rFonts w:hint="eastAsia" w:ascii="仿宋_GB2312" w:hAnsi="宋体" w:cs="仿宋_GB2312"/>
                <w:i w:val="0"/>
                <w:color w:val="000000"/>
                <w:spacing w:val="-6"/>
                <w:kern w:val="0"/>
                <w:sz w:val="20"/>
                <w:szCs w:val="20"/>
                <w:highlight w:val="none"/>
                <w:u w:val="none"/>
                <w:lang w:val="en-US" w:eastAsia="zh-CN" w:bidi="ar"/>
              </w:rPr>
              <w:t>〕</w:t>
            </w:r>
            <w:r>
              <w:rPr>
                <w:rFonts w:hint="eastAsia" w:ascii="仿宋_GB2312" w:hAnsi="宋体" w:eastAsia="仿宋_GB2312" w:cs="仿宋_GB2312"/>
                <w:i w:val="0"/>
                <w:color w:val="000000"/>
                <w:spacing w:val="-6"/>
                <w:kern w:val="0"/>
                <w:sz w:val="20"/>
                <w:szCs w:val="20"/>
                <w:highlight w:val="none"/>
                <w:u w:val="none"/>
                <w:lang w:val="en-US" w:eastAsia="zh-CN" w:bidi="ar"/>
              </w:rPr>
              <w:t>342号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67" w:hRule="exact"/>
          <w:jc w:val="center"/>
        </w:trPr>
        <w:tc>
          <w:tcPr>
            <w:tcW w:w="667" w:type="dxa"/>
            <w:noWrap w:val="0"/>
            <w:vAlign w:val="center"/>
          </w:tcPr>
          <w:p/>
        </w:tc>
        <w:tc>
          <w:tcPr>
            <w:tcW w:w="6230" w:type="dxa"/>
            <w:noWrap w:val="0"/>
            <w:vAlign w:val="center"/>
          </w:tcPr>
          <w:p/>
        </w:tc>
        <w:tc>
          <w:tcPr>
            <w:tcW w:w="1882" w:type="dxa"/>
            <w:noWrap w:val="0"/>
            <w:vAlign w:val="center"/>
          </w:tcPr>
          <w:p/>
        </w:tc>
        <w:tc>
          <w:tcPr>
            <w:tcW w:w="609"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72</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关于印发《福建省渔港经营许可管理办法》的通知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2004</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489号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eastAsia="仿宋_GB231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73</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关于印发《部分周边国家对违法外国渔船的处罚规定》的通知</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392号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283" w:hRule="exact"/>
          <w:jc w:val="center"/>
        </w:trPr>
        <w:tc>
          <w:tcPr>
            <w:tcW w:w="6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szCs w:val="32"/>
                <w:vertAlign w:val="baseline"/>
                <w:lang w:val="en-US"/>
              </w:rPr>
            </w:pPr>
            <w:r>
              <w:rPr>
                <w:rFonts w:hint="eastAsia" w:ascii="仿宋_GB2312" w:hAnsi="宋体" w:cs="仿宋_GB2312"/>
                <w:i w:val="0"/>
                <w:color w:val="000000"/>
                <w:spacing w:val="-6"/>
                <w:kern w:val="0"/>
                <w:sz w:val="20"/>
                <w:szCs w:val="20"/>
                <w:u w:val="none"/>
                <w:lang w:val="en-US" w:eastAsia="zh-CN" w:bidi="ar"/>
              </w:rPr>
              <w:t>74</w:t>
            </w:r>
          </w:p>
        </w:tc>
        <w:tc>
          <w:tcPr>
            <w:tcW w:w="62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福建省海洋与渔业局关于禁止非法购置海洋捕捞渔船的通告</w:t>
            </w:r>
          </w:p>
        </w:tc>
        <w:tc>
          <w:tcPr>
            <w:tcW w:w="18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szCs w:val="32"/>
                <w:vertAlign w:val="baseline"/>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121号</w:t>
            </w:r>
          </w:p>
        </w:tc>
        <w:tc>
          <w:tcPr>
            <w:tcW w:w="609" w:type="dxa"/>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outlineLvl w:val="9"/>
              <w:rPr>
                <w:rFonts w:hint="eastAsia" w:ascii="仿宋_GB2312"/>
                <w:szCs w:val="32"/>
                <w:vertAlign w:val="baseli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7774A"/>
    <w:rsid w:val="0AD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3"/>
    <w:qFormat/>
    <w:uiPriority w:val="0"/>
    <w:pPr>
      <w:widowControl w:val="0"/>
      <w:kinsoku w:val="0"/>
      <w:autoSpaceDE w:val="0"/>
      <w:autoSpaceDN w:val="0"/>
      <w:adjustRightInd w:val="0"/>
      <w:snapToGrid w:val="0"/>
      <w:spacing w:line="240" w:lineRule="atLeast"/>
      <w:jc w:val="both"/>
      <w:textAlignment w:val="baseline"/>
    </w:pPr>
    <w:rPr>
      <w:rFonts w:ascii="Times New Roman" w:hAnsi="Times New Roman" w:eastAsia="仿宋_GB2312" w:cs="Times New Roman"/>
      <w:snapToGrid w:val="0"/>
      <w:color w:val="000000"/>
      <w:spacing w:val="-6"/>
      <w:kern w:val="2"/>
      <w:sz w:val="18"/>
      <w:szCs w:val="18"/>
      <w:lang w:val="en-US" w:eastAsia="zh-CN" w:bidi="ar-SA"/>
    </w:rPr>
  </w:style>
  <w:style w:type="paragraph" w:styleId="3">
    <w:name w:val="endnote text"/>
    <w:qFormat/>
    <w:uiPriority w:val="0"/>
    <w:pPr>
      <w:widowControl w:val="0"/>
      <w:snapToGrid w:val="0"/>
      <w:jc w:val="left"/>
    </w:pPr>
    <w:rPr>
      <w:rFonts w:ascii="Calibri" w:hAnsi="Calibri" w:eastAsia="宋体" w:cs="Times New Roman"/>
      <w:kern w:val="2"/>
      <w:sz w:val="21"/>
      <w:szCs w:val="22"/>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0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2024-12-02T09:02:00Z</dcterms:created>
  <dc:creator>傅锦祥。</dc:creator>
  <cp:lastModifiedBy>傅锦祥。</cp:lastModifiedBy>
  <dcterms:modified xsi:type="dcterms:W3CDTF">2024-12-02T09:03:42Z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27240BD1A03A457F908A7D25E39ECE7D</vt:lpwstr>
  </property>
</Properties>
</file>