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90" w:lineRule="exact"/>
        <w:ind w:left="0" w:leftChars="0"/>
        <w:jc w:val="both"/>
        <w:textAlignment w:val="auto"/>
        <w:rPr>
          <w:rFonts w:hint="eastAsia" w:ascii="黑体" w:hAnsi="黑体" w:eastAsia="黑体" w:cs="黑体"/>
          <w:color w:val="auto"/>
          <w:sz w:val="31"/>
          <w:szCs w:val="31"/>
          <w:lang w:val="en-US" w:eastAsia="zh-CN"/>
        </w:rPr>
      </w:pPr>
      <w:r>
        <w:rPr>
          <w:rFonts w:hint="eastAsia" w:ascii="黑体" w:hAnsi="黑体" w:eastAsia="黑体" w:cs="黑体"/>
          <w:color w:val="auto"/>
          <w:sz w:val="31"/>
          <w:szCs w:val="31"/>
          <w:lang w:val="en-US" w:eastAsia="zh-CN"/>
        </w:rPr>
        <w:t>附件11</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jc w:val="both"/>
        <w:textAlignment w:val="auto"/>
        <w:rPr>
          <w:rFonts w:hint="eastAsia" w:ascii="黑体" w:hAnsi="黑体" w:eastAsia="黑体" w:cs="黑体"/>
          <w:color w:val="auto"/>
          <w:sz w:val="31"/>
          <w:szCs w:val="31"/>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bookmarkStart w:id="0" w:name="_GoBack"/>
      <w:r>
        <w:rPr>
          <w:rFonts w:hint="eastAsia" w:ascii="方正小标宋简体" w:hAnsi="方正小标宋简体" w:eastAsia="方正小标宋简体" w:cs="方正小标宋简体"/>
          <w:color w:val="auto"/>
          <w:sz w:val="44"/>
          <w:szCs w:val="44"/>
          <w:lang w:val="en-US" w:eastAsia="zh-CN"/>
        </w:rPr>
        <w:t>水产养殖高温和暴雨指数保险实施方案</w:t>
      </w:r>
      <w:bookmarkEnd w:id="0"/>
    </w:p>
    <w:p>
      <w:pPr>
        <w:keepNext w:val="0"/>
        <w:keepLines w:val="0"/>
        <w:pageBreakBefore w:val="0"/>
        <w:kinsoku/>
        <w:overflowPunct/>
        <w:topLinePunct w:val="0"/>
        <w:autoSpaceDE/>
        <w:autoSpaceDN/>
        <w:bidi w:val="0"/>
        <w:adjustRightInd w:val="0"/>
        <w:snapToGrid w:val="0"/>
        <w:spacing w:line="480" w:lineRule="exact"/>
        <w:ind w:left="0" w:leftChars="0"/>
        <w:jc w:val="both"/>
        <w:rPr>
          <w:rFonts w:hint="eastAsia"/>
          <w:color w:val="auto"/>
          <w:sz w:val="44"/>
          <w:szCs w:val="44"/>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eastAsia="仿宋_GB2312"/>
          <w:color w:val="auto"/>
          <w:sz w:val="32"/>
          <w:szCs w:val="32"/>
        </w:rPr>
      </w:pPr>
      <w:r>
        <w:rPr>
          <w:rFonts w:hint="eastAsia" w:ascii="黑体" w:hAnsi="黑体" w:eastAsia="黑体" w:cs="黑体"/>
          <w:b w:val="0"/>
          <w:bCs w:val="0"/>
          <w:color w:val="auto"/>
          <w:sz w:val="32"/>
          <w:szCs w:val="32"/>
          <w:lang w:val="en-US" w:eastAsia="zh-CN"/>
        </w:rPr>
        <w:t>一、</w:t>
      </w:r>
      <w:r>
        <w:rPr>
          <w:rFonts w:hint="eastAsia" w:ascii="黑体" w:hAnsi="黑体" w:eastAsia="黑体" w:cs="黑体"/>
          <w:b w:val="0"/>
          <w:bCs w:val="0"/>
          <w:color w:val="auto"/>
          <w:sz w:val="32"/>
          <w:szCs w:val="32"/>
        </w:rPr>
        <w:t>保险标的</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同时符合下列条件的养殖水产可作为保险标的（以下简称保险水产）：</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（一）保险水产应符合国家及地方相关水产养殖管理部门相关规定；</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（二）保险水产的品种、规格、养殖密度均符合养殖规范的养殖标准和卫生要求；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（三）养殖基础设施完备，运行正常；</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（四）在保险单中列明的养殖地点内饲养。</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eastAsia="仿宋_GB2312"/>
          <w:color w:val="auto"/>
          <w:sz w:val="32"/>
          <w:szCs w:val="32"/>
        </w:rPr>
      </w:pPr>
      <w:r>
        <w:rPr>
          <w:rFonts w:hint="eastAsia" w:ascii="黑体" w:hAnsi="黑体" w:eastAsia="黑体" w:cs="黑体"/>
          <w:b w:val="0"/>
          <w:bCs w:val="0"/>
          <w:color w:val="auto"/>
          <w:sz w:val="32"/>
          <w:szCs w:val="32"/>
          <w:lang w:val="en-US" w:eastAsia="zh-CN"/>
        </w:rPr>
        <w:t>二、投保方式及保险期限</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投保方式。</w:t>
      </w:r>
      <w:r>
        <w:rPr>
          <w:rFonts w:hint="eastAsia" w:ascii="仿宋_GB2312" w:hAnsi="仿宋_GB2312" w:eastAsia="仿宋_GB2312" w:cs="仿宋_GB2312"/>
          <w:color w:val="auto"/>
          <w:sz w:val="32"/>
          <w:szCs w:val="32"/>
        </w:rPr>
        <w:t>尊重渔民参保意愿</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采取多种形式组织渔民参保</w:t>
      </w:r>
      <w:r>
        <w:rPr>
          <w:rFonts w:hint="eastAsia" w:ascii="仿宋_GB2312" w:hAnsi="仿宋_GB2312" w:eastAsia="仿宋_GB2312" w:cs="仿宋_GB2312"/>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（二）保险期限。</w:t>
      </w:r>
      <w:r>
        <w:rPr>
          <w:rFonts w:hint="eastAsia" w:ascii="仿宋_GB2312" w:hAnsi="仿宋_GB2312" w:eastAsia="仿宋_GB2312" w:cs="仿宋_GB2312"/>
          <w:color w:val="auto"/>
          <w:sz w:val="32"/>
          <w:szCs w:val="32"/>
        </w:rPr>
        <w:t>除另有约定外，保险期间为每年4月1日</w:t>
      </w:r>
      <w:r>
        <w:rPr>
          <w:rFonts w:hint="eastAsia" w:ascii="仿宋_GB2312" w:hAnsi="仿宋_GB2312" w:eastAsia="仿宋_GB2312" w:cs="仿宋_GB2312"/>
          <w:color w:val="auto"/>
          <w:sz w:val="32"/>
          <w:szCs w:val="32"/>
          <w:lang w:eastAsia="zh-CN"/>
        </w:rPr>
        <w:t>至</w:t>
      </w:r>
      <w:r>
        <w:rPr>
          <w:rFonts w:hint="eastAsia" w:ascii="仿宋_GB2312" w:hAnsi="仿宋_GB2312" w:eastAsia="仿宋_GB2312" w:cs="仿宋_GB2312"/>
          <w:color w:val="auto"/>
          <w:sz w:val="32"/>
          <w:szCs w:val="32"/>
        </w:rPr>
        <w:t>10月31日，以保险单载明的起讫时间为准。</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黑体" w:hAnsi="黑体" w:eastAsia="黑体" w:cs="黑体"/>
          <w:b w:val="0"/>
          <w:bCs w:val="0"/>
          <w:color w:val="auto"/>
          <w:sz w:val="32"/>
          <w:szCs w:val="32"/>
          <w:shd w:val="clear" w:color="auto" w:fill="FFFFFF"/>
          <w:lang w:val="en-US" w:eastAsia="zh-CN"/>
        </w:rPr>
      </w:pPr>
      <w:r>
        <w:rPr>
          <w:rFonts w:hint="eastAsia" w:ascii="黑体" w:hAnsi="黑体" w:eastAsia="黑体" w:cs="黑体"/>
          <w:b w:val="0"/>
          <w:bCs w:val="0"/>
          <w:color w:val="auto"/>
          <w:sz w:val="32"/>
          <w:szCs w:val="32"/>
          <w:shd w:val="clear" w:color="auto" w:fill="FFFFFF"/>
          <w:lang w:val="en-US" w:eastAsia="zh-CN"/>
        </w:rPr>
        <w:t>三、保险责任</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rPr>
        <w:t>在保险期间内，当被保险养殖区域出现约定的</w:t>
      </w:r>
      <w:r>
        <w:rPr>
          <w:rFonts w:hint="eastAsia" w:ascii="仿宋_GB2312" w:hAnsi="仿宋_GB2312" w:eastAsia="仿宋_GB2312" w:cs="仿宋_GB2312"/>
          <w:color w:val="auto"/>
          <w:sz w:val="32"/>
          <w:szCs w:val="32"/>
          <w:shd w:val="clear" w:color="auto" w:fill="FFFFFF"/>
        </w:rPr>
        <w:t>灾害事件时</w:t>
      </w:r>
      <w:r>
        <w:rPr>
          <w:rFonts w:hint="eastAsia" w:ascii="仿宋_GB2312" w:hAnsi="仿宋_GB2312" w:eastAsia="仿宋_GB2312" w:cs="仿宋_GB2312"/>
          <w:color w:val="auto"/>
          <w:sz w:val="32"/>
          <w:szCs w:val="32"/>
        </w:rPr>
        <w:t>，视为保险事故发生，保险人按本保险合同约定负责赔偿</w:t>
      </w:r>
      <w:r>
        <w:rPr>
          <w:rFonts w:hint="eastAsia" w:ascii="仿宋_GB2312" w:hAnsi="仿宋_GB2312" w:eastAsia="仿宋_GB2312" w:cs="仿宋_GB2312"/>
          <w:color w:val="auto"/>
          <w:sz w:val="32"/>
          <w:szCs w:val="32"/>
          <w:shd w:val="clear" w:color="auto" w:fill="FFFFFF"/>
        </w:rPr>
        <w:t>。</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暴雨灾害</w:t>
      </w:r>
      <w:r>
        <w:rPr>
          <w:rFonts w:hint="eastAsia" w:ascii="仿宋_GB2312" w:hAnsi="仿宋_GB2312" w:eastAsia="仿宋_GB2312" w:cs="仿宋_GB2312"/>
          <w:b w:val="0"/>
          <w:bCs w:val="0"/>
          <w:color w:val="auto"/>
          <w:sz w:val="32"/>
          <w:szCs w:val="32"/>
        </w:rPr>
        <w:t>：</w:t>
      </w:r>
      <w:r>
        <w:rPr>
          <w:rFonts w:hint="eastAsia" w:ascii="仿宋_GB2312" w:hAnsi="仿宋_GB2312" w:eastAsia="仿宋_GB2312" w:cs="仿宋_GB2312"/>
          <w:color w:val="auto"/>
          <w:sz w:val="32"/>
          <w:szCs w:val="32"/>
        </w:rPr>
        <w:t>以</w:t>
      </w:r>
      <w:r>
        <w:rPr>
          <w:rFonts w:hint="eastAsia" w:ascii="仿宋_GB2312" w:hAnsi="仿宋_GB2312" w:eastAsia="仿宋_GB2312" w:cs="仿宋_GB2312"/>
          <w:color w:val="auto"/>
          <w:sz w:val="32"/>
          <w:szCs w:val="32"/>
          <w:lang w:val="en-US" w:eastAsia="zh-CN"/>
        </w:rPr>
        <w:t>约定气象观测站</w:t>
      </w:r>
      <w:r>
        <w:rPr>
          <w:rFonts w:hint="eastAsia" w:ascii="仿宋_GB2312" w:eastAsia="仿宋_GB2312"/>
          <w:color w:val="auto"/>
          <w:sz w:val="32"/>
          <w:szCs w:val="32"/>
        </w:rPr>
        <w:t>实测</w:t>
      </w:r>
      <w:r>
        <w:rPr>
          <w:rFonts w:hint="eastAsia" w:ascii="仿宋_GB2312" w:hAnsi="仿宋_GB2312" w:eastAsia="仿宋_GB2312" w:cs="仿宋_GB2312"/>
          <w:color w:val="auto"/>
          <w:sz w:val="32"/>
          <w:szCs w:val="32"/>
        </w:rPr>
        <w:t>的日降水量为依据，当连续2天的累计降水量 ≥100㎜时，即视为</w:t>
      </w:r>
      <w:r>
        <w:rPr>
          <w:rFonts w:hint="eastAsia" w:ascii="仿宋_GB2312" w:hAnsi="仿宋_GB2312" w:eastAsia="仿宋_GB2312" w:cs="仿宋_GB2312"/>
          <w:color w:val="auto"/>
          <w:sz w:val="32"/>
          <w:szCs w:val="32"/>
          <w:lang w:val="en-US" w:eastAsia="zh-CN"/>
        </w:rPr>
        <w:t>发生暴雨灾害</w:t>
      </w:r>
      <w:r>
        <w:rPr>
          <w:rFonts w:hint="eastAsia" w:ascii="仿宋_GB2312" w:hAnsi="仿宋_GB2312" w:eastAsia="仿宋_GB2312" w:cs="仿宋_GB2312"/>
          <w:color w:val="auto"/>
          <w:sz w:val="32"/>
          <w:szCs w:val="32"/>
        </w:rPr>
        <w:t>。</w:t>
      </w:r>
      <w:r>
        <w:rPr>
          <w:rFonts w:hint="eastAsia" w:ascii="仿宋_GB2312" w:eastAsia="仿宋_GB2312"/>
          <w:color w:val="auto"/>
          <w:sz w:val="32"/>
          <w:szCs w:val="32"/>
        </w:rPr>
        <w:t>用连续2天的累计降水量大小表示暴雨灾害的强度。</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eastAsia="仿宋_GB2312"/>
          <w:color w:val="auto"/>
          <w:sz w:val="32"/>
          <w:szCs w:val="32"/>
        </w:rPr>
      </w:pPr>
      <w:r>
        <w:rPr>
          <w:rFonts w:hint="eastAsia" w:ascii="仿宋_GB2312" w:eastAsia="仿宋_GB2312"/>
          <w:color w:val="auto"/>
          <w:sz w:val="32"/>
          <w:szCs w:val="32"/>
          <w:lang w:val="en-US" w:eastAsia="zh-CN"/>
        </w:rPr>
        <w:t>（二）</w:t>
      </w:r>
      <w:r>
        <w:rPr>
          <w:rFonts w:hint="eastAsia" w:ascii="仿宋_GB2312" w:eastAsia="仿宋_GB2312"/>
          <w:color w:val="auto"/>
          <w:sz w:val="32"/>
          <w:szCs w:val="32"/>
        </w:rPr>
        <w:t>高温灾害</w:t>
      </w:r>
      <w:r>
        <w:rPr>
          <w:rFonts w:hint="eastAsia" w:ascii="仿宋_GB2312" w:eastAsia="仿宋_GB2312"/>
          <w:color w:val="auto"/>
          <w:sz w:val="32"/>
          <w:szCs w:val="32"/>
          <w:lang w:eastAsia="zh-CN"/>
        </w:rPr>
        <w:t>：</w:t>
      </w:r>
      <w:r>
        <w:rPr>
          <w:rFonts w:hint="eastAsia" w:ascii="仿宋_GB2312" w:eastAsia="仿宋_GB2312"/>
          <w:color w:val="auto"/>
          <w:sz w:val="32"/>
          <w:szCs w:val="32"/>
        </w:rPr>
        <w:t>以</w:t>
      </w:r>
      <w:r>
        <w:rPr>
          <w:rFonts w:hint="eastAsia" w:ascii="仿宋_GB2312" w:hAnsi="仿宋_GB2312" w:eastAsia="仿宋_GB2312" w:cs="仿宋_GB2312"/>
          <w:color w:val="auto"/>
          <w:sz w:val="32"/>
          <w:szCs w:val="32"/>
          <w:lang w:val="en-US" w:eastAsia="zh-CN"/>
        </w:rPr>
        <w:t>约定气象观测站</w:t>
      </w:r>
      <w:r>
        <w:rPr>
          <w:rFonts w:hint="eastAsia" w:ascii="仿宋_GB2312" w:eastAsia="仿宋_GB2312"/>
          <w:color w:val="auto"/>
          <w:sz w:val="32"/>
          <w:szCs w:val="32"/>
        </w:rPr>
        <w:t>实测的日最高气温为依据，当发生连续</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天（含）以上的日最高气温≥3</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℃时，即视为</w:t>
      </w:r>
      <w:r>
        <w:rPr>
          <w:rFonts w:hint="eastAsia" w:ascii="仿宋_GB2312" w:eastAsia="仿宋_GB2312"/>
          <w:color w:val="auto"/>
          <w:sz w:val="32"/>
          <w:szCs w:val="32"/>
          <w:lang w:val="en-US" w:eastAsia="zh-CN"/>
        </w:rPr>
        <w:t>发生高温灾害</w:t>
      </w:r>
      <w:r>
        <w:rPr>
          <w:rFonts w:hint="eastAsia" w:ascii="仿宋_GB2312" w:eastAsia="仿宋_GB2312"/>
          <w:color w:val="auto"/>
          <w:sz w:val="32"/>
          <w:szCs w:val="32"/>
          <w:lang w:eastAsia="zh-CN"/>
        </w:rPr>
        <w:t>。</w:t>
      </w:r>
      <w:r>
        <w:rPr>
          <w:rFonts w:hint="eastAsia" w:ascii="仿宋_GB2312" w:eastAsia="仿宋_GB2312"/>
          <w:color w:val="auto"/>
          <w:sz w:val="32"/>
          <w:szCs w:val="32"/>
        </w:rPr>
        <w:t>用日最高气温≥3</w:t>
      </w:r>
      <w:r>
        <w:rPr>
          <w:rFonts w:hint="eastAsia" w:ascii="仿宋_GB2312" w:eastAsia="仿宋_GB2312"/>
          <w:color w:val="auto"/>
          <w:sz w:val="32"/>
          <w:szCs w:val="32"/>
          <w:lang w:val="en-US" w:eastAsia="zh-CN"/>
        </w:rPr>
        <w:t>5</w:t>
      </w:r>
      <w:r>
        <w:rPr>
          <w:rFonts w:hint="eastAsia" w:ascii="仿宋_GB2312" w:eastAsia="仿宋_GB2312"/>
          <w:color w:val="auto"/>
          <w:sz w:val="32"/>
          <w:szCs w:val="32"/>
        </w:rPr>
        <w:t>℃的连续天数表示高温灾害的强度。</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四、责任免除</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lang w:eastAsia="zh-CN"/>
        </w:rPr>
        <w:t>）下列原因造成的损失、费用和责任，保险人不负责赔偿：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投保人、被保险人及其雇工的管理不善、故意行为、重大过失行为、违法行为、犯罪行为；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战争、军事行动、恐怖行动、敌对行为、武装冲突、民间冲突、罢工、骚乱或暴动；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行政行为或司法行为；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4.</w:t>
      </w:r>
      <w:r>
        <w:rPr>
          <w:rFonts w:hint="eastAsia" w:ascii="仿宋_GB2312" w:hAnsi="仿宋_GB2312" w:eastAsia="仿宋_GB2312" w:cs="仿宋_GB2312"/>
          <w:b w:val="0"/>
          <w:bCs w:val="0"/>
          <w:color w:val="auto"/>
          <w:sz w:val="32"/>
          <w:szCs w:val="32"/>
          <w:lang w:eastAsia="zh-CN"/>
        </w:rPr>
        <w:t>水污染、大气污染、土地污染、核辐射、核裂变、核聚变、核污染及其他放射性污染；</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val="0"/>
          <w:bCs w:val="0"/>
          <w:color w:val="auto"/>
          <w:sz w:val="32"/>
          <w:szCs w:val="32"/>
          <w:lang w:eastAsia="zh-CN"/>
        </w:rPr>
        <w:t>第三人、投保人或被保险人的恶意破坏行为。</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二</w:t>
      </w:r>
      <w:r>
        <w:rPr>
          <w:rFonts w:hint="eastAsia" w:ascii="仿宋_GB2312" w:hAnsi="仿宋_GB2312" w:eastAsia="仿宋_GB2312" w:cs="仿宋_GB2312"/>
          <w:b w:val="0"/>
          <w:bCs w:val="0"/>
          <w:color w:val="auto"/>
          <w:sz w:val="32"/>
          <w:szCs w:val="32"/>
          <w:lang w:eastAsia="zh-CN"/>
        </w:rPr>
        <w:t>）下列损失、费用，保险人也不负责赔偿：</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eastAsia="zh-CN"/>
        </w:rPr>
        <w:t>因高温灾害以外的原因导致的损失；</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eastAsia="zh-CN"/>
        </w:rPr>
        <w:t>未达到本保险合同约定的高温灾害标准情况下的损失；</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eastAsia="zh-CN"/>
        </w:rPr>
        <w:t>被保险人的各种间接损失。</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三</w:t>
      </w:r>
      <w:r>
        <w:rPr>
          <w:rFonts w:hint="eastAsia" w:ascii="仿宋_GB2312" w:hAnsi="仿宋_GB2312" w:eastAsia="仿宋_GB2312" w:cs="仿宋_GB2312"/>
          <w:b w:val="0"/>
          <w:bCs w:val="0"/>
          <w:color w:val="auto"/>
          <w:sz w:val="32"/>
          <w:szCs w:val="32"/>
          <w:lang w:eastAsia="zh-CN"/>
        </w:rPr>
        <w:t>）其他不属于本保险责任范围的损失、费用。</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五、保险金额、保险费率和保费财政补贴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一</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保险金额</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保险水产单位保险金额为1000元/份，可投保多份，投保份数参照保险水产所投入的综合成本确定，具体由投保人与保险人协商确定，并在保险单中载明。</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保险金额=单位保险金额×保险份数</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（二）保险费率</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暴雨</w:t>
      </w:r>
      <w:r>
        <w:rPr>
          <w:rFonts w:hint="eastAsia" w:ascii="仿宋_GB2312" w:hAnsi="仿宋_GB2312" w:eastAsia="仿宋_GB2312" w:cs="仿宋_GB2312"/>
          <w:b w:val="0"/>
          <w:bCs w:val="0"/>
          <w:color w:val="auto"/>
          <w:sz w:val="32"/>
          <w:szCs w:val="32"/>
          <w:lang w:val="en-US" w:eastAsia="zh-CN"/>
        </w:rPr>
        <w:t>灾害基准费率</w:t>
      </w:r>
      <w:r>
        <w:rPr>
          <w:rFonts w:hint="eastAsia" w:ascii="仿宋_GB2312" w:hAnsi="仿宋_GB2312" w:eastAsia="仿宋_GB2312" w:cs="仿宋_GB2312"/>
          <w:b w:val="0"/>
          <w:bCs w:val="0"/>
          <w:color w:val="auto"/>
          <w:sz w:val="32"/>
          <w:szCs w:val="32"/>
          <w:lang w:eastAsia="zh-CN"/>
        </w:rPr>
        <w:t>：6%</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eastAsia="zh-CN"/>
        </w:rPr>
      </w:pPr>
      <w:r>
        <w:rPr>
          <w:rFonts w:hint="eastAsia" w:ascii="仿宋_GB2312" w:hAnsi="仿宋_GB2312" w:eastAsia="仿宋_GB2312" w:cs="仿宋_GB2312"/>
          <w:b w:val="0"/>
          <w:bCs w:val="0"/>
          <w:color w:val="auto"/>
          <w:sz w:val="32"/>
          <w:szCs w:val="32"/>
          <w:lang w:eastAsia="zh-CN"/>
        </w:rPr>
        <w:t>高温</w:t>
      </w:r>
      <w:r>
        <w:rPr>
          <w:rFonts w:hint="eastAsia" w:ascii="仿宋_GB2312" w:hAnsi="仿宋_GB2312" w:eastAsia="仿宋_GB2312" w:cs="仿宋_GB2312"/>
          <w:b w:val="0"/>
          <w:bCs w:val="0"/>
          <w:color w:val="auto"/>
          <w:sz w:val="32"/>
          <w:szCs w:val="32"/>
          <w:lang w:val="en-US" w:eastAsia="zh-CN"/>
        </w:rPr>
        <w:t>灾害基准费率</w:t>
      </w:r>
      <w:r>
        <w:rPr>
          <w:rFonts w:hint="eastAsia" w:ascii="仿宋_GB2312" w:hAnsi="仿宋_GB2312" w:eastAsia="仿宋_GB2312" w:cs="仿宋_GB2312"/>
          <w:b w:val="0"/>
          <w:bCs w:val="0"/>
          <w:color w:val="auto"/>
          <w:sz w:val="32"/>
          <w:szCs w:val="32"/>
          <w:lang w:eastAsia="zh-CN"/>
        </w:rPr>
        <w:t>：6%</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（三）财政补贴</w:t>
      </w:r>
    </w:p>
    <w:p>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eastAsia="仿宋_GB2312"/>
          <w:color w:val="auto"/>
          <w:sz w:val="32"/>
          <w:szCs w:val="32"/>
        </w:rPr>
      </w:pPr>
      <w:r>
        <w:rPr>
          <w:rFonts w:hint="eastAsia" w:ascii="仿宋_GB2312" w:hAnsi="仿宋_GB2312" w:eastAsia="仿宋_GB2312" w:cs="仿宋_GB2312"/>
          <w:b w:val="0"/>
          <w:bCs w:val="0"/>
          <w:color w:val="auto"/>
          <w:sz w:val="32"/>
          <w:szCs w:val="32"/>
          <w:lang w:eastAsia="zh-CN"/>
        </w:rPr>
        <w:t>省级财政补贴30%；市、县两级财政补贴10%（有条件的市县可自行提高），</w:t>
      </w:r>
      <w:r>
        <w:rPr>
          <w:rFonts w:hint="eastAsia" w:ascii="仿宋_GB2312" w:hAnsi="仿宋" w:eastAsia="仿宋_GB2312" w:cs="Times New Roman"/>
          <w:color w:val="auto"/>
          <w:spacing w:val="-9"/>
          <w:kern w:val="2"/>
          <w:sz w:val="32"/>
          <w:szCs w:val="20"/>
          <w:highlight w:val="none"/>
          <w:lang w:val="en-US" w:eastAsia="zh-CN"/>
        </w:rPr>
        <w:t>各级财政保费补贴标准按照扣除各项承保优惠后计算。</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黑体" w:hAnsi="黑体" w:eastAsia="黑体" w:cs="黑体"/>
          <w:b w:val="0"/>
          <w:bCs w:val="0"/>
          <w:color w:val="auto"/>
          <w:kern w:val="44"/>
          <w:sz w:val="32"/>
          <w:szCs w:val="32"/>
          <w:lang w:val="en-US" w:eastAsia="zh-CN"/>
        </w:rPr>
      </w:pPr>
      <w:r>
        <w:rPr>
          <w:rFonts w:hint="eastAsia" w:ascii="黑体" w:hAnsi="黑体" w:eastAsia="黑体" w:cs="黑体"/>
          <w:b w:val="0"/>
          <w:bCs w:val="0"/>
          <w:color w:val="auto"/>
          <w:kern w:val="44"/>
          <w:sz w:val="32"/>
          <w:szCs w:val="32"/>
          <w:lang w:val="en-US" w:eastAsia="zh-CN"/>
        </w:rPr>
        <w:t>六、赔偿处理</w:t>
      </w:r>
    </w:p>
    <w:p>
      <w:pPr>
        <w:keepNext w:val="0"/>
        <w:keepLines w:val="0"/>
        <w:pageBreakBefore w:val="0"/>
        <w:widowControl w:val="0"/>
        <w:kinsoku/>
        <w:wordWrap/>
        <w:overflowPunct/>
        <w:topLinePunct w:val="0"/>
        <w:autoSpaceDE/>
        <w:autoSpaceDN/>
        <w:bidi w:val="0"/>
        <w:adjustRightInd w:val="0"/>
        <w:snapToGrid w:val="0"/>
        <w:spacing w:beforeLines="0" w:afterLines="0" w:line="540" w:lineRule="exact"/>
        <w:ind w:left="0" w:leftChars="0" w:firstLine="616"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在被保险养殖区域内，保险水产发生保险责任范围内的损失，保险人按以下方式计算赔偿</w:t>
      </w:r>
      <w:r>
        <w:rPr>
          <w:rFonts w:hint="eastAsia" w:ascii="仿宋_GB2312" w:hAnsi="仿宋_GB2312" w:eastAsia="仿宋_GB2312" w:cs="仿宋_GB2312"/>
          <w:color w:val="auto"/>
          <w:sz w:val="32"/>
          <w:szCs w:val="32"/>
          <w:lang w:eastAsia="zh-CN"/>
        </w:rPr>
        <w:t>：</w:t>
      </w:r>
    </w:p>
    <w:p>
      <w:pPr>
        <w:pStyle w:val="2"/>
        <w:keepNext w:val="0"/>
        <w:keepLines w:val="0"/>
        <w:pageBreakBefore w:val="0"/>
        <w:kinsoku/>
        <w:wordWrap/>
        <w:overflowPunct/>
        <w:topLinePunct w:val="0"/>
        <w:autoSpaceDE/>
        <w:autoSpaceDN/>
        <w:bidi w:val="0"/>
        <w:adjustRightInd w:val="0"/>
        <w:snapToGrid w:val="0"/>
        <w:spacing w:before="0" w:after="0" w:line="540" w:lineRule="exact"/>
        <w:ind w:left="0" w:leftChars="0" w:firstLine="616"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eastAsia="仿宋_GB2312"/>
          <w:b w:val="0"/>
          <w:bCs w:val="0"/>
          <w:color w:val="auto"/>
          <w:sz w:val="32"/>
          <w:szCs w:val="32"/>
          <w:lang w:eastAsia="zh-CN"/>
        </w:rPr>
        <w:t>赔偿金额=单位赔偿金额×保险份数。</w:t>
      </w:r>
    </w:p>
    <w:p>
      <w:pPr>
        <w:pStyle w:val="2"/>
        <w:keepNext w:val="0"/>
        <w:keepLines w:val="0"/>
        <w:pageBreakBefore w:val="0"/>
        <w:kinsoku/>
        <w:wordWrap/>
        <w:overflowPunct/>
        <w:topLinePunct w:val="0"/>
        <w:autoSpaceDE/>
        <w:autoSpaceDN/>
        <w:bidi w:val="0"/>
        <w:adjustRightInd w:val="0"/>
        <w:snapToGrid w:val="0"/>
        <w:spacing w:before="0" w:after="0" w:line="540" w:lineRule="exact"/>
        <w:ind w:left="0" w:leftChars="0" w:firstLine="616" w:firstLineChars="200"/>
        <w:jc w:val="both"/>
        <w:textAlignment w:val="auto"/>
        <w:rPr>
          <w:rFonts w:hint="eastAsia" w:ascii="仿宋_GB2312" w:hAnsi="仿宋_GB2312" w:eastAsia="仿宋_GB2312" w:cs="仿宋_GB2312"/>
          <w:b w:val="0"/>
          <w:bCs w:val="0"/>
          <w:color w:val="auto"/>
          <w:kern w:val="2"/>
          <w:sz w:val="32"/>
          <w:szCs w:val="32"/>
          <w:lang w:eastAsia="zh-CN"/>
        </w:rPr>
      </w:pPr>
      <w:r>
        <w:rPr>
          <w:rFonts w:hint="eastAsia" w:ascii="仿宋_GB2312" w:hAnsi="仿宋_GB2312" w:eastAsia="仿宋_GB2312" w:cs="仿宋_GB2312"/>
          <w:b w:val="0"/>
          <w:bCs w:val="0"/>
          <w:color w:val="auto"/>
          <w:kern w:val="2"/>
          <w:sz w:val="32"/>
          <w:szCs w:val="32"/>
          <w:lang w:eastAsia="zh-CN"/>
        </w:rPr>
        <w:t>保险期间内发生一次或多次事故的，赔偿金额根据保险期间内最大的一次事故所对应的赔偿标准进行赔付；保险期间内，首次保险事故赔付后，如果再遭遇更严重的事故，后续赔偿金额为最大一次事故对应的赔偿金额扣减之前累计赔偿金额的差额。</w:t>
      </w:r>
    </w:p>
    <w:p>
      <w:pPr>
        <w:pStyle w:val="2"/>
        <w:spacing w:after="0" w:line="540" w:lineRule="exact"/>
        <w:ind w:firstLine="616"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color w:val="auto"/>
          <w:sz w:val="32"/>
          <w:szCs w:val="32"/>
          <w:lang w:eastAsia="zh-CN"/>
        </w:rPr>
        <w:t>保险期间内赔偿金额以保险合同载明的保险金额为限，总赔偿金额达到保险金额时，保险责任终止。</w:t>
      </w:r>
    </w:p>
    <w:p/>
    <w:sectPr>
      <w:pgSz w:w="11906" w:h="16838"/>
      <w:pgMar w:top="2154" w:right="1531" w:bottom="1984" w:left="1531" w:header="851" w:footer="992" w:gutter="0"/>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C62C1F"/>
    <w:rsid w:val="13C62C1F"/>
    <w:rsid w:val="2D8730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Lines="0" w:after="120" w:afterLines="0"/>
    </w:pPr>
    <w:rPr>
      <w:rFonts w:hint="eastAsia"/>
      <w:sz w:val="21"/>
      <w:szCs w:val="24"/>
    </w:rPr>
  </w:style>
  <w:style w:type="paragraph" w:styleId="3">
    <w:name w:val="footer"/>
    <w:basedOn w:val="1"/>
    <w:qFormat/>
    <w:uiPriority w:val="0"/>
    <w:pPr>
      <w:tabs>
        <w:tab w:val="center" w:pos="4153"/>
        <w:tab w:val="right" w:pos="8306"/>
      </w:tabs>
      <w:overflowPunct w:val="0"/>
      <w:autoSpaceDE w:val="0"/>
      <w:autoSpaceDN w:val="0"/>
      <w:adjustRightInd w:val="0"/>
      <w:spacing w:line="240" w:lineRule="atLeast"/>
      <w:jc w:val="both"/>
      <w:textAlignment w:val="baseline"/>
    </w:pPr>
    <w:rPr>
      <w:sz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2026-01-13T08:42:00Z</dcterms:created>
  <dc:creator>傅锦祥。</dc:creator>
  <cp:lastModifiedBy>傅锦祥。</cp:lastModifiedBy>
  <dcterms:modified xsi:type="dcterms:W3CDTF">2026-01-13T08:43:19Z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8EB4293BA130454BBA3EA9CE6C8B0EA9</vt:lpwstr>
  </property>
</Properties>
</file>