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jc w:val="both"/>
        <w:textAlignment w:val="auto"/>
        <w:rPr>
          <w:rFonts w:hint="eastAsia" w:ascii="黑体" w:hAnsi="黑体" w:eastAsia="黑体" w:cs="黑体"/>
          <w:color w:val="auto"/>
          <w:kern w:val="2"/>
          <w:sz w:val="31"/>
          <w:szCs w:val="31"/>
          <w:lang w:val="en-US" w:eastAsia="zh-CN" w:bidi="ar-SA"/>
        </w:rPr>
      </w:pPr>
      <w:r>
        <w:rPr>
          <w:rFonts w:hint="eastAsia" w:ascii="黑体" w:hAnsi="黑体" w:eastAsia="黑体" w:cs="黑体"/>
          <w:color w:val="auto"/>
          <w:kern w:val="2"/>
          <w:sz w:val="31"/>
          <w:szCs w:val="31"/>
          <w:lang w:val="en-US" w:eastAsia="zh-CN" w:bidi="ar-SA"/>
        </w:rPr>
        <w:t>附件9</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jc w:val="both"/>
        <w:textAlignment w:val="auto"/>
        <w:rPr>
          <w:rFonts w:hint="eastAsia" w:ascii="黑体" w:hAnsi="黑体" w:eastAsia="黑体" w:cs="黑体"/>
          <w:color w:val="auto"/>
          <w:kern w:val="2"/>
          <w:sz w:val="31"/>
          <w:szCs w:val="3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bookmarkStart w:id="0" w:name="_GoBack"/>
      <w:r>
        <w:rPr>
          <w:rFonts w:hint="eastAsia" w:ascii="方正小标宋简体" w:hAnsi="方正小标宋简体" w:eastAsia="方正小标宋简体" w:cs="方正小标宋简体"/>
          <w:color w:val="auto"/>
          <w:kern w:val="2"/>
          <w:sz w:val="44"/>
          <w:szCs w:val="44"/>
          <w:lang w:val="en-US" w:eastAsia="zh-CN" w:bidi="ar-SA"/>
        </w:rPr>
        <w:t>海水养殖赤潮指数保险实施方案</w:t>
      </w:r>
      <w:bookmarkEnd w:id="0"/>
    </w:p>
    <w:p>
      <w:pPr>
        <w:pStyle w:val="2"/>
        <w:keepNext w:val="0"/>
        <w:keepLines w:val="0"/>
        <w:pageBreakBefore w:val="0"/>
        <w:kinsoku/>
        <w:overflowPunct/>
        <w:topLinePunct w:val="0"/>
        <w:autoSpaceDE/>
        <w:autoSpaceDN/>
        <w:bidi w:val="0"/>
        <w:adjustRightInd w:val="0"/>
        <w:snapToGrid w:val="0"/>
        <w:spacing w:line="590" w:lineRule="exact"/>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一、保险标的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同时符合下列条件的养殖水产可作为保险标的（以下简称保险水产）：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（一）保险水产应符合国家及地方相关水产养殖管理部门相关规定；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（二）保险水产的品种、规格、养殖密度均符合养殖规范的养殖标准和卫生要求；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（三）养殖基础设施完备，运行正常；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（四）在保险单中列明的养殖地点内饲养。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default" w:ascii="黑体" w:hAnsi="黑体" w:eastAsia="黑体" w:cs="黑体"/>
          <w:color w:val="auto"/>
          <w:kern w:val="2"/>
          <w:sz w:val="32"/>
          <w:szCs w:val="32"/>
          <w:lang w:val="en-US" w:eastAsia="zh-CN" w:bidi="ar-SA"/>
        </w:rPr>
      </w:pPr>
      <w:r>
        <w:rPr>
          <w:rFonts w:hint="default" w:ascii="黑体" w:hAnsi="黑体" w:eastAsia="黑体" w:cs="黑体"/>
          <w:color w:val="auto"/>
          <w:kern w:val="2"/>
          <w:sz w:val="32"/>
          <w:szCs w:val="32"/>
          <w:lang w:val="en-US" w:eastAsia="zh-CN" w:bidi="ar-SA"/>
        </w:rPr>
        <w:t>二、投保方式及保险期限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（一）投保方式。尊重渔民参保意愿</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采取多种形式组织渔民参保。</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（二）保险期限。除</w:t>
      </w:r>
      <w:r>
        <w:rPr>
          <w:rFonts w:hint="default" w:ascii="仿宋_GB2312" w:hAnsi="仿宋_GB2312" w:eastAsia="仿宋_GB2312" w:cs="仿宋_GB2312"/>
          <w:color w:val="auto"/>
          <w:kern w:val="2"/>
          <w:sz w:val="32"/>
          <w:szCs w:val="32"/>
          <w:lang w:val="en-US" w:eastAsia="zh-CN" w:bidi="ar-SA"/>
        </w:rPr>
        <w:t>另有约定外，保险期间为每年的3月1日至10月31日，以保险单载明的起讫时间为准。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default" w:ascii="黑体" w:hAnsi="黑体" w:eastAsia="黑体" w:cs="黑体"/>
          <w:color w:val="auto"/>
          <w:kern w:val="2"/>
          <w:sz w:val="32"/>
          <w:szCs w:val="32"/>
          <w:lang w:val="en-US" w:eastAsia="zh-CN" w:bidi="ar-SA"/>
        </w:rPr>
      </w:pPr>
      <w:r>
        <w:rPr>
          <w:rFonts w:hint="default" w:ascii="黑体" w:hAnsi="黑体" w:eastAsia="黑体" w:cs="黑体"/>
          <w:color w:val="auto"/>
          <w:kern w:val="2"/>
          <w:sz w:val="32"/>
          <w:szCs w:val="32"/>
          <w:lang w:val="en-US" w:eastAsia="zh-CN" w:bidi="ar-SA"/>
        </w:rPr>
        <w:t>三、保险责任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在保险期间内，当保险水产所在被保险养殖区域遭遇赤潮灾害，且藻种密度、持续时间和养殖生物损失情况达到或超过约定条件时，视为保险事故发生，保险人按照本保险合同约定负责赔偿。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赤潮灾害（藻种密度、持续时间和养殖生物损失情况）的确定以福建省海洋与渔业局发布的赤潮灾害信息为准。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default" w:ascii="黑体" w:hAnsi="黑体" w:eastAsia="黑体" w:cs="黑体"/>
          <w:color w:val="auto"/>
          <w:kern w:val="2"/>
          <w:sz w:val="32"/>
          <w:szCs w:val="32"/>
          <w:lang w:val="en-US" w:eastAsia="zh-CN" w:bidi="ar-SA"/>
        </w:rPr>
      </w:pPr>
      <w:r>
        <w:rPr>
          <w:rFonts w:hint="default" w:ascii="黑体" w:hAnsi="黑体" w:eastAsia="黑体" w:cs="黑体"/>
          <w:color w:val="auto"/>
          <w:kern w:val="2"/>
          <w:sz w:val="32"/>
          <w:szCs w:val="32"/>
          <w:lang w:val="en-US" w:eastAsia="zh-CN" w:bidi="ar-SA"/>
        </w:rPr>
        <w:t>四、责任免除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（一）下列原因造成的损失、费用和责任，保险人不负责赔偿：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1.投保人、被保险人及其雇工的管理不善、故意行为、重大过失行为、违法行为、犯罪行为；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2.战争、军事行动、恐怖行动、敌对行为、武装冲突、民间冲突、罢工、骚乱或暴动；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3.行政行为或司法行为；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4.水污染、大气污染、土地污染、核辐射、核裂变、核聚变、核污染及其他放射性污染；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5.第三人、投保人或被保险人的恶意破坏行为。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（二）下列损失、费用，保险人也不负责赔偿：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1.因赤潮事件以外的原因导致的损失；</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2.未达到本保险合同约定的赤潮事件标准情况下的损失；</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3.被保险人的各种间接损失。</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（三）其他不属于本保险责任范围的损失、费用。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default" w:ascii="黑体" w:hAnsi="黑体" w:eastAsia="黑体" w:cs="黑体"/>
          <w:color w:val="auto"/>
          <w:kern w:val="2"/>
          <w:sz w:val="32"/>
          <w:szCs w:val="32"/>
          <w:lang w:val="en-US" w:eastAsia="zh-CN" w:bidi="ar-SA"/>
        </w:rPr>
      </w:pPr>
      <w:r>
        <w:rPr>
          <w:rFonts w:hint="default" w:ascii="黑体" w:hAnsi="黑体" w:eastAsia="黑体" w:cs="黑体"/>
          <w:color w:val="auto"/>
          <w:kern w:val="2"/>
          <w:sz w:val="32"/>
          <w:szCs w:val="32"/>
          <w:lang w:val="en-US" w:eastAsia="zh-CN" w:bidi="ar-SA"/>
        </w:rPr>
        <w:t>五、保险金额、保险费率和保费财政补贴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（一）保险金额</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保险水产的单位保险金额为1000元/份，可投保多份，投保份数参照保险水产所投入的综合成本确定，具体由投保人与保险人协商确定，并在保险单中载明。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保险金额=单位保险金额×保险份数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（二）保险费率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基准费率：4.8%～8.0%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（三）财政补贴政策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default" w:ascii="仿宋_GB2312" w:hAnsi="仿宋" w:eastAsia="仿宋_GB2312" w:cs="Times New Roman"/>
          <w:color w:val="auto"/>
          <w:spacing w:val="-9"/>
          <w:kern w:val="2"/>
          <w:sz w:val="32"/>
          <w:szCs w:val="20"/>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省级财政补贴30%；</w:t>
      </w:r>
      <w:r>
        <w:rPr>
          <w:rFonts w:hint="eastAsia" w:ascii="仿宋_GB2312" w:hAnsi="仿宋_GB2312" w:eastAsia="仿宋_GB2312" w:cs="仿宋_GB2312"/>
          <w:b w:val="0"/>
          <w:bCs/>
          <w:color w:val="auto"/>
          <w:spacing w:val="-9"/>
          <w:sz w:val="32"/>
          <w:szCs w:val="32"/>
        </w:rPr>
        <w:t>市、县两级财政补贴10%</w:t>
      </w:r>
      <w:r>
        <w:rPr>
          <w:rFonts w:hint="eastAsia" w:ascii="仿宋_GB2312" w:hAnsi="仿宋_GB2312" w:eastAsia="仿宋_GB2312" w:cs="仿宋_GB2312"/>
          <w:b w:val="0"/>
          <w:bCs/>
          <w:color w:val="auto"/>
          <w:spacing w:val="-9"/>
          <w:sz w:val="32"/>
          <w:szCs w:val="32"/>
          <w:lang w:eastAsia="zh-CN"/>
        </w:rPr>
        <w:t>（</w:t>
      </w:r>
      <w:r>
        <w:rPr>
          <w:rFonts w:hint="eastAsia" w:ascii="仿宋_GB2312" w:hAnsi="仿宋_GB2312" w:eastAsia="仿宋_GB2312" w:cs="仿宋_GB2312"/>
          <w:b w:val="0"/>
          <w:bCs/>
          <w:color w:val="auto"/>
          <w:spacing w:val="-9"/>
          <w:sz w:val="32"/>
          <w:szCs w:val="32"/>
        </w:rPr>
        <w:t>有条件的市县可自行提高</w:t>
      </w:r>
      <w:r>
        <w:rPr>
          <w:rFonts w:hint="eastAsia" w:ascii="仿宋_GB2312" w:hAnsi="仿宋_GB2312" w:eastAsia="仿宋_GB2312" w:cs="仿宋_GB2312"/>
          <w:b w:val="0"/>
          <w:bCs/>
          <w:color w:val="auto"/>
          <w:spacing w:val="-9"/>
          <w:sz w:val="32"/>
          <w:szCs w:val="32"/>
          <w:lang w:eastAsia="zh-CN"/>
        </w:rPr>
        <w:t>），</w:t>
      </w:r>
      <w:r>
        <w:rPr>
          <w:rFonts w:hint="eastAsia" w:ascii="仿宋_GB2312" w:hAnsi="仿宋" w:eastAsia="仿宋_GB2312" w:cs="Times New Roman"/>
          <w:color w:val="auto"/>
          <w:spacing w:val="-9"/>
          <w:kern w:val="2"/>
          <w:sz w:val="32"/>
          <w:szCs w:val="20"/>
          <w:highlight w:val="none"/>
          <w:lang w:val="en-US" w:eastAsia="zh-CN"/>
        </w:rPr>
        <w:t>各级财政保费补贴标准按照扣除各项承保优惠后计算。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六</w:t>
      </w:r>
      <w:r>
        <w:rPr>
          <w:rFonts w:hint="default" w:ascii="黑体" w:hAnsi="黑体" w:eastAsia="黑体" w:cs="黑体"/>
          <w:color w:val="auto"/>
          <w:kern w:val="2"/>
          <w:sz w:val="32"/>
          <w:szCs w:val="32"/>
          <w:lang w:val="en-US" w:eastAsia="zh-CN" w:bidi="ar-SA"/>
        </w:rPr>
        <w:t>、赔偿处理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04" w:firstLineChars="200"/>
        <w:textAlignment w:val="auto"/>
        <w:rPr>
          <w:rFonts w:hint="eastAsia" w:ascii="仿宋_GB2312" w:hAnsi="仿宋_GB2312" w:eastAsia="仿宋_GB2312" w:cs="仿宋_GB2312"/>
          <w:b w:val="0"/>
          <w:bCs/>
          <w:color w:val="auto"/>
          <w:spacing w:val="-9"/>
          <w:sz w:val="32"/>
          <w:szCs w:val="32"/>
          <w:lang w:val="en-US" w:eastAsia="zh-CN"/>
        </w:rPr>
      </w:pPr>
      <w:r>
        <w:rPr>
          <w:rFonts w:hint="default" w:ascii="仿宋_GB2312" w:hAnsi="仿宋_GB2312" w:eastAsia="仿宋_GB2312" w:cs="仿宋_GB2312"/>
          <w:b w:val="0"/>
          <w:bCs/>
          <w:color w:val="auto"/>
          <w:spacing w:val="-9"/>
          <w:sz w:val="32"/>
          <w:szCs w:val="32"/>
          <w:lang w:val="en-US" w:eastAsia="zh-CN"/>
        </w:rPr>
        <w:t>赔偿金额=单位赔偿</w:t>
      </w:r>
      <w:r>
        <w:rPr>
          <w:rFonts w:hint="eastAsia" w:ascii="仿宋_GB2312" w:hAnsi="仿宋_GB2312" w:eastAsia="仿宋_GB2312" w:cs="仿宋_GB2312"/>
          <w:b w:val="0"/>
          <w:bCs/>
          <w:color w:val="auto"/>
          <w:spacing w:val="-9"/>
          <w:sz w:val="32"/>
          <w:szCs w:val="32"/>
          <w:lang w:val="en-US" w:eastAsia="zh-CN"/>
        </w:rPr>
        <w:t>金额</w:t>
      </w:r>
      <w:r>
        <w:rPr>
          <w:rFonts w:hint="default" w:ascii="仿宋_GB2312" w:hAnsi="仿宋_GB2312" w:eastAsia="仿宋_GB2312" w:cs="仿宋_GB2312"/>
          <w:b w:val="0"/>
          <w:bCs/>
          <w:color w:val="auto"/>
          <w:spacing w:val="-9"/>
          <w:sz w:val="32"/>
          <w:szCs w:val="32"/>
          <w:lang w:val="en-US" w:eastAsia="zh-CN"/>
        </w:rPr>
        <w:t>×</w:t>
      </w:r>
      <w:r>
        <w:rPr>
          <w:rFonts w:hint="eastAsia" w:ascii="仿宋_GB2312" w:hAnsi="仿宋_GB2312" w:eastAsia="仿宋_GB2312" w:cs="仿宋_GB2312"/>
          <w:b w:val="0"/>
          <w:bCs/>
          <w:color w:val="auto"/>
          <w:spacing w:val="-9"/>
          <w:sz w:val="32"/>
          <w:szCs w:val="32"/>
          <w:lang w:val="en-US" w:eastAsia="zh-CN"/>
        </w:rPr>
        <w:t>保险</w:t>
      </w:r>
      <w:r>
        <w:rPr>
          <w:rFonts w:hint="default" w:ascii="仿宋_GB2312" w:hAnsi="仿宋_GB2312" w:eastAsia="仿宋_GB2312" w:cs="仿宋_GB2312"/>
          <w:b w:val="0"/>
          <w:bCs/>
          <w:color w:val="auto"/>
          <w:spacing w:val="-9"/>
          <w:sz w:val="32"/>
          <w:szCs w:val="32"/>
          <w:lang w:val="en-US" w:eastAsia="zh-CN"/>
        </w:rPr>
        <w:t>份数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04" w:firstLineChars="200"/>
        <w:jc w:val="both"/>
        <w:textAlignment w:val="auto"/>
        <w:rPr>
          <w:rFonts w:hint="default" w:ascii="仿宋_GB2312" w:hAnsi="仿宋_GB2312" w:eastAsia="仿宋_GB2312" w:cs="仿宋_GB2312"/>
          <w:b w:val="0"/>
          <w:bCs/>
          <w:color w:val="auto"/>
          <w:spacing w:val="-9"/>
          <w:sz w:val="32"/>
          <w:szCs w:val="32"/>
          <w:lang w:val="en-US" w:eastAsia="zh-CN"/>
        </w:rPr>
      </w:pPr>
      <w:r>
        <w:rPr>
          <w:rFonts w:hint="eastAsia" w:ascii="仿宋_GB2312" w:hAnsi="仿宋_GB2312" w:eastAsia="仿宋_GB2312" w:cs="仿宋_GB2312"/>
          <w:b w:val="0"/>
          <w:bCs/>
          <w:color w:val="auto"/>
          <w:spacing w:val="-9"/>
          <w:sz w:val="32"/>
          <w:szCs w:val="32"/>
          <w:lang w:val="en-US" w:eastAsia="zh-CN"/>
        </w:rPr>
        <w:t>（一）</w:t>
      </w:r>
      <w:r>
        <w:rPr>
          <w:rFonts w:hint="default" w:ascii="仿宋_GB2312" w:hAnsi="仿宋_GB2312" w:eastAsia="仿宋_GB2312" w:cs="仿宋_GB2312"/>
          <w:b w:val="0"/>
          <w:bCs/>
          <w:color w:val="auto"/>
          <w:spacing w:val="-9"/>
          <w:sz w:val="32"/>
          <w:szCs w:val="32"/>
          <w:lang w:val="en-US" w:eastAsia="zh-CN"/>
        </w:rPr>
        <w:t>单位赔偿</w:t>
      </w:r>
      <w:r>
        <w:rPr>
          <w:rFonts w:hint="eastAsia" w:ascii="仿宋_GB2312" w:hAnsi="仿宋_GB2312" w:eastAsia="仿宋_GB2312" w:cs="仿宋_GB2312"/>
          <w:b w:val="0"/>
          <w:bCs/>
          <w:color w:val="auto"/>
          <w:spacing w:val="-9"/>
          <w:sz w:val="32"/>
          <w:szCs w:val="32"/>
          <w:lang w:val="en-US" w:eastAsia="zh-CN"/>
        </w:rPr>
        <w:t>金额</w:t>
      </w:r>
      <w:r>
        <w:rPr>
          <w:rFonts w:hint="default" w:ascii="仿宋_GB2312" w:hAnsi="仿宋_GB2312" w:eastAsia="仿宋_GB2312" w:cs="仿宋_GB2312"/>
          <w:b w:val="0"/>
          <w:bCs/>
          <w:color w:val="auto"/>
          <w:spacing w:val="-9"/>
          <w:sz w:val="32"/>
          <w:szCs w:val="32"/>
          <w:lang w:val="en-US" w:eastAsia="zh-CN"/>
        </w:rPr>
        <w:t>根据赤潮的类型、持续时间和藻种密度确定。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04" w:firstLineChars="200"/>
        <w:jc w:val="both"/>
        <w:textAlignment w:val="auto"/>
        <w:rPr>
          <w:rFonts w:hint="default" w:ascii="仿宋_GB2312" w:hAnsi="仿宋_GB2312" w:eastAsia="仿宋_GB2312" w:cs="仿宋_GB2312"/>
          <w:b w:val="0"/>
          <w:bCs/>
          <w:color w:val="auto"/>
          <w:spacing w:val="-9"/>
          <w:sz w:val="32"/>
          <w:szCs w:val="32"/>
          <w:lang w:val="en-US"/>
        </w:rPr>
      </w:pPr>
      <w:r>
        <w:rPr>
          <w:rFonts w:hint="eastAsia" w:ascii="仿宋_GB2312" w:hAnsi="仿宋_GB2312" w:eastAsia="仿宋_GB2312" w:cs="仿宋_GB2312"/>
          <w:b w:val="0"/>
          <w:bCs/>
          <w:color w:val="auto"/>
          <w:spacing w:val="-9"/>
          <w:sz w:val="32"/>
          <w:szCs w:val="32"/>
          <w:lang w:val="en-US" w:eastAsia="zh-CN"/>
        </w:rPr>
        <w:t>（二）</w:t>
      </w:r>
      <w:r>
        <w:rPr>
          <w:rFonts w:hint="eastAsia" w:ascii="仿宋_GB2312" w:hAnsi="仿宋_GB2312" w:eastAsia="仿宋_GB2312" w:cs="仿宋_GB2312"/>
          <w:b w:val="0"/>
          <w:bCs/>
          <w:color w:val="auto"/>
          <w:spacing w:val="-9"/>
          <w:sz w:val="32"/>
          <w:szCs w:val="32"/>
        </w:rPr>
        <w:t>保险期间内，发生一次或多次事故的，赔偿金额根据保险期间内最大的一次事故所对应的赔偿标准进行赔付</w:t>
      </w:r>
      <w:r>
        <w:rPr>
          <w:rFonts w:hint="eastAsia" w:ascii="仿宋_GB2312" w:hAnsi="仿宋_GB2312" w:eastAsia="仿宋_GB2312" w:cs="仿宋_GB2312"/>
          <w:b w:val="0"/>
          <w:bCs/>
          <w:color w:val="auto"/>
          <w:spacing w:val="-9"/>
          <w:sz w:val="32"/>
          <w:szCs w:val="32"/>
          <w:lang w:eastAsia="zh-CN"/>
        </w:rPr>
        <w:t>；</w:t>
      </w:r>
      <w:r>
        <w:rPr>
          <w:rFonts w:hint="eastAsia" w:ascii="仿宋_GB2312" w:hAnsi="仿宋_GB2312" w:eastAsia="仿宋_GB2312" w:cs="仿宋_GB2312"/>
          <w:b w:val="0"/>
          <w:bCs/>
          <w:color w:val="auto"/>
          <w:spacing w:val="-9"/>
          <w:sz w:val="32"/>
          <w:szCs w:val="32"/>
        </w:rPr>
        <w:t>保险期间内，首次保险事故赔付后，如果再遭遇更严重的事故，后续赔偿金额为最大一次事故对应的赔偿金额扣减之前累计赔偿金额的差额。</w:t>
      </w:r>
    </w:p>
    <w:p>
      <w:r>
        <w:rPr>
          <w:rFonts w:hint="eastAsia" w:ascii="仿宋_GB2312" w:hAnsi="仿宋_GB2312" w:eastAsia="仿宋_GB2312" w:cs="仿宋_GB2312"/>
          <w:b w:val="0"/>
          <w:bCs/>
          <w:color w:val="auto"/>
          <w:spacing w:val="-9"/>
          <w:sz w:val="32"/>
          <w:szCs w:val="32"/>
          <w:lang w:val="en-US" w:eastAsia="zh-CN"/>
        </w:rPr>
        <w:t>（三）保险期间内</w:t>
      </w:r>
      <w:r>
        <w:rPr>
          <w:rFonts w:hint="eastAsia" w:ascii="仿宋_GB2312" w:hAnsi="仿宋_GB2312" w:eastAsia="仿宋_GB2312" w:cs="仿宋_GB2312"/>
          <w:b w:val="0"/>
          <w:bCs/>
          <w:color w:val="auto"/>
          <w:spacing w:val="-9"/>
          <w:sz w:val="32"/>
          <w:szCs w:val="32"/>
        </w:rPr>
        <w:t>赔款金额</w:t>
      </w:r>
      <w:r>
        <w:rPr>
          <w:rFonts w:hint="eastAsia" w:ascii="仿宋_GB2312" w:hAnsi="仿宋_GB2312" w:eastAsia="仿宋_GB2312" w:cs="仿宋_GB2312"/>
          <w:b w:val="0"/>
          <w:bCs/>
          <w:color w:val="auto"/>
          <w:spacing w:val="-9"/>
          <w:sz w:val="32"/>
          <w:szCs w:val="32"/>
          <w:lang w:val="en-US" w:eastAsia="zh-CN"/>
        </w:rPr>
        <w:t>以</w:t>
      </w:r>
      <w:r>
        <w:rPr>
          <w:rFonts w:hint="eastAsia" w:ascii="仿宋_GB2312" w:hAnsi="仿宋_GB2312" w:eastAsia="仿宋_GB2312" w:cs="仿宋_GB2312"/>
          <w:b w:val="0"/>
          <w:bCs/>
          <w:color w:val="auto"/>
          <w:spacing w:val="-9"/>
          <w:sz w:val="32"/>
          <w:szCs w:val="32"/>
        </w:rPr>
        <w:t>保险</w:t>
      </w:r>
      <w:r>
        <w:rPr>
          <w:rFonts w:hint="eastAsia" w:ascii="仿宋_GB2312" w:hAnsi="仿宋_GB2312" w:eastAsia="仿宋_GB2312" w:cs="仿宋_GB2312"/>
          <w:b w:val="0"/>
          <w:bCs/>
          <w:color w:val="auto"/>
          <w:spacing w:val="-9"/>
          <w:sz w:val="32"/>
          <w:szCs w:val="32"/>
          <w:lang w:val="en-US" w:eastAsia="zh-CN"/>
        </w:rPr>
        <w:t>合同载明的保险金额为限</w:t>
      </w:r>
      <w:r>
        <w:rPr>
          <w:rFonts w:hint="eastAsia" w:ascii="仿宋_GB2312" w:hAnsi="仿宋_GB2312" w:eastAsia="仿宋_GB2312" w:cs="仿宋_GB2312"/>
          <w:b w:val="0"/>
          <w:bCs/>
          <w:color w:val="auto"/>
          <w:spacing w:val="-9"/>
          <w:sz w:val="32"/>
          <w:szCs w:val="32"/>
          <w:lang w:eastAsia="zh-CN"/>
        </w:rPr>
        <w:t>，</w:t>
      </w:r>
      <w:r>
        <w:rPr>
          <w:rFonts w:hint="eastAsia" w:ascii="仿宋_GB2312" w:hAnsi="仿宋_GB2312" w:eastAsia="仿宋_GB2312" w:cs="仿宋_GB2312"/>
          <w:b w:val="0"/>
          <w:bCs/>
          <w:color w:val="auto"/>
          <w:spacing w:val="-9"/>
          <w:sz w:val="32"/>
          <w:szCs w:val="32"/>
          <w:lang w:val="en-US" w:eastAsia="zh-CN"/>
        </w:rPr>
        <w:t>总赔偿</w:t>
      </w:r>
      <w:r>
        <w:rPr>
          <w:rFonts w:hint="eastAsia" w:ascii="仿宋_GB2312" w:hAnsi="仿宋_GB2312" w:eastAsia="仿宋_GB2312" w:cs="仿宋_GB2312"/>
          <w:b w:val="0"/>
          <w:bCs/>
          <w:color w:val="auto"/>
          <w:spacing w:val="-9"/>
          <w:sz w:val="32"/>
          <w:szCs w:val="32"/>
        </w:rPr>
        <w:t>金额</w:t>
      </w:r>
      <w:r>
        <w:rPr>
          <w:rFonts w:hint="eastAsia" w:ascii="仿宋_GB2312" w:hAnsi="仿宋_GB2312" w:eastAsia="仿宋_GB2312" w:cs="仿宋_GB2312"/>
          <w:b w:val="0"/>
          <w:bCs/>
          <w:color w:val="auto"/>
          <w:spacing w:val="-9"/>
          <w:sz w:val="32"/>
          <w:szCs w:val="32"/>
          <w:lang w:val="en-US" w:eastAsia="zh-CN"/>
        </w:rPr>
        <w:t>达到</w:t>
      </w:r>
      <w:r>
        <w:rPr>
          <w:rFonts w:hint="eastAsia" w:ascii="仿宋_GB2312" w:hAnsi="仿宋_GB2312" w:eastAsia="仿宋_GB2312" w:cs="仿宋_GB2312"/>
          <w:b w:val="0"/>
          <w:bCs/>
          <w:color w:val="auto"/>
          <w:spacing w:val="-9"/>
          <w:sz w:val="32"/>
          <w:szCs w:val="32"/>
        </w:rPr>
        <w:t>保险金额时</w:t>
      </w:r>
      <w:r>
        <w:rPr>
          <w:rFonts w:hint="eastAsia" w:ascii="仿宋_GB2312" w:hAnsi="仿宋_GB2312" w:eastAsia="仿宋_GB2312" w:cs="仿宋_GB2312"/>
          <w:b w:val="0"/>
          <w:bCs/>
          <w:color w:val="auto"/>
          <w:spacing w:val="-9"/>
          <w:sz w:val="32"/>
          <w:szCs w:val="32"/>
          <w:lang w:eastAsia="zh-CN"/>
        </w:rPr>
        <w:t>，</w:t>
      </w:r>
      <w:r>
        <w:rPr>
          <w:rFonts w:hint="eastAsia" w:ascii="仿宋_GB2312" w:hAnsi="仿宋_GB2312" w:eastAsia="仿宋_GB2312" w:cs="仿宋_GB2312"/>
          <w:b w:val="0"/>
          <w:bCs/>
          <w:color w:val="auto"/>
          <w:spacing w:val="-9"/>
          <w:sz w:val="32"/>
          <w:szCs w:val="32"/>
          <w:lang w:val="en-US" w:eastAsia="zh-CN"/>
        </w:rPr>
        <w:t>保险责任</w:t>
      </w:r>
      <w:r>
        <w:rPr>
          <w:rFonts w:hint="eastAsia" w:ascii="仿宋_GB2312" w:hAnsi="仿宋_GB2312" w:eastAsia="仿宋_GB2312" w:cs="仿宋_GB2312"/>
          <w:b w:val="0"/>
          <w:bCs/>
          <w:color w:val="auto"/>
          <w:spacing w:val="-9"/>
          <w:sz w:val="32"/>
          <w:szCs w:val="32"/>
        </w:rPr>
        <w:t>终止</w:t>
      </w:r>
      <w:r>
        <w:rPr>
          <w:rFonts w:hint="eastAsia" w:ascii="仿宋_GB2312" w:hAnsi="仿宋_GB2312" w:eastAsia="仿宋_GB2312" w:cs="仿宋_GB2312"/>
          <w:b w:val="0"/>
          <w:bCs/>
          <w:color w:val="auto"/>
          <w:spacing w:val="-9"/>
          <w:sz w:val="32"/>
          <w:szCs w:val="32"/>
          <w:lang w:eastAsia="zh-CN"/>
        </w:rPr>
        <w:t>。</w:t>
      </w:r>
    </w:p>
    <w:sectPr>
      <w:pgSz w:w="11906" w:h="16838"/>
      <w:pgMar w:top="2154" w:right="1531" w:bottom="1984"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6525F"/>
    <w:rsid w:val="29E6525F"/>
    <w:rsid w:val="2D873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pPr>
      <w:spacing w:beforeLines="0" w:afterLines="0"/>
    </w:pPr>
    <w:rPr>
      <w:rFonts w:hint="default"/>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2026-01-13T08:41:00Z</dcterms:created>
  <dc:creator>傅锦祥。</dc:creator>
  <cp:lastModifiedBy>傅锦祥。</cp:lastModifiedBy>
  <dcterms:modified xsi:type="dcterms:W3CDTF">2026-01-13T08:42:03Z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48D0DEB1AE604C3EA55AE953A1069B70</vt:lpwstr>
  </property>
</Properties>
</file>