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val="0"/>
        <w:snapToGrid w:val="0"/>
        <w:spacing w:line="590" w:lineRule="exact"/>
        <w:ind w:left="0" w:leftChars="0"/>
        <w:jc w:val="both"/>
        <w:rPr>
          <w:rFonts w:hint="eastAsia" w:ascii="黑体" w:hAnsi="黑体" w:eastAsia="黑体" w:cs="黑体"/>
          <w:bCs/>
          <w:color w:val="auto"/>
          <w:sz w:val="31"/>
          <w:szCs w:val="31"/>
          <w:lang w:val="en-US" w:eastAsia="zh-CN"/>
        </w:rPr>
      </w:pPr>
      <w:r>
        <w:rPr>
          <w:rFonts w:hint="eastAsia" w:ascii="黑体" w:hAnsi="黑体" w:eastAsia="黑体" w:cs="黑体"/>
          <w:bCs/>
          <w:color w:val="auto"/>
          <w:sz w:val="31"/>
          <w:szCs w:val="31"/>
          <w:lang w:val="en-US" w:eastAsia="zh-CN"/>
        </w:rPr>
        <w:t>附件8</w:t>
      </w:r>
    </w:p>
    <w:p>
      <w:pPr>
        <w:keepNext w:val="0"/>
        <w:keepLines w:val="0"/>
        <w:pageBreakBefore w:val="0"/>
        <w:kinsoku/>
        <w:overflowPunct/>
        <w:topLinePunct w:val="0"/>
        <w:autoSpaceDE/>
        <w:autoSpaceDN/>
        <w:bidi w:val="0"/>
        <w:adjustRightInd w:val="0"/>
        <w:snapToGrid w:val="0"/>
        <w:spacing w:line="590" w:lineRule="exact"/>
        <w:ind w:left="0" w:leftChars="0"/>
        <w:jc w:val="center"/>
        <w:rPr>
          <w:rFonts w:hint="eastAsia" w:ascii="方正小标宋简体" w:eastAsia="方正小标宋简体"/>
          <w:bCs/>
          <w:color w:val="auto"/>
          <w:sz w:val="44"/>
          <w:szCs w:val="44"/>
          <w:lang w:val="en-US" w:eastAsia="zh-CN"/>
        </w:rPr>
      </w:pPr>
    </w:p>
    <w:p>
      <w:pPr>
        <w:keepNext w:val="0"/>
        <w:keepLines w:val="0"/>
        <w:pageBreakBefore w:val="0"/>
        <w:kinsoku/>
        <w:overflowPunct/>
        <w:topLinePunct w:val="0"/>
        <w:autoSpaceDE/>
        <w:autoSpaceDN/>
        <w:bidi w:val="0"/>
        <w:adjustRightInd w:val="0"/>
        <w:snapToGrid w:val="0"/>
        <w:spacing w:line="590" w:lineRule="exact"/>
        <w:ind w:left="0" w:leftChars="0"/>
        <w:jc w:val="center"/>
        <w:rPr>
          <w:rFonts w:ascii="方正小标宋简体" w:eastAsia="方正小标宋简体"/>
          <w:bCs/>
          <w:color w:val="auto"/>
          <w:sz w:val="44"/>
          <w:szCs w:val="44"/>
        </w:rPr>
      </w:pPr>
      <w:bookmarkStart w:id="0" w:name="_GoBack"/>
      <w:r>
        <w:rPr>
          <w:rFonts w:hint="eastAsia" w:ascii="方正小标宋简体" w:eastAsia="方正小标宋简体"/>
          <w:bCs/>
          <w:color w:val="auto"/>
          <w:sz w:val="44"/>
          <w:szCs w:val="44"/>
          <w:lang w:val="en-US" w:eastAsia="zh-CN"/>
        </w:rPr>
        <w:t>海上养殖设施财产</w:t>
      </w:r>
      <w:r>
        <w:rPr>
          <w:rFonts w:hint="eastAsia" w:ascii="方正小标宋简体" w:eastAsia="方正小标宋简体"/>
          <w:bCs/>
          <w:color w:val="auto"/>
          <w:sz w:val="44"/>
          <w:szCs w:val="44"/>
        </w:rPr>
        <w:t>保险</w:t>
      </w:r>
      <w:r>
        <w:rPr>
          <w:rFonts w:hint="eastAsia" w:ascii="方正小标宋简体" w:eastAsia="方正小标宋简体"/>
          <w:bCs/>
          <w:color w:val="auto"/>
          <w:sz w:val="44"/>
          <w:szCs w:val="44"/>
          <w:lang w:val="en-US" w:eastAsia="zh-CN"/>
        </w:rPr>
        <w:t>实施</w:t>
      </w:r>
      <w:r>
        <w:rPr>
          <w:rFonts w:hint="eastAsia" w:ascii="方正小标宋简体" w:eastAsia="方正小标宋简体"/>
          <w:bCs/>
          <w:color w:val="auto"/>
          <w:sz w:val="44"/>
          <w:szCs w:val="44"/>
        </w:rPr>
        <w:t>方案</w:t>
      </w:r>
      <w:bookmarkEnd w:id="0"/>
    </w:p>
    <w:p>
      <w:pPr>
        <w:keepNext w:val="0"/>
        <w:keepLines w:val="0"/>
        <w:pageBreakBefore w:val="0"/>
        <w:kinsoku/>
        <w:overflowPunct/>
        <w:topLinePunct w:val="0"/>
        <w:autoSpaceDE/>
        <w:autoSpaceDN/>
        <w:bidi w:val="0"/>
        <w:adjustRightInd w:val="0"/>
        <w:snapToGrid w:val="0"/>
        <w:spacing w:line="590" w:lineRule="exact"/>
        <w:ind w:left="0" w:leftChars="0"/>
        <w:jc w:val="center"/>
        <w:rPr>
          <w:rFonts w:ascii="方正小标宋简体" w:eastAsia="方正小标宋简体"/>
          <w:bCs/>
          <w:color w:val="auto"/>
          <w:sz w:val="44"/>
          <w:szCs w:val="44"/>
        </w:rPr>
      </w:pP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黑体" w:hAnsi="黑体" w:eastAsia="黑体"/>
          <w:bCs/>
          <w:color w:val="auto"/>
          <w:sz w:val="32"/>
          <w:szCs w:val="32"/>
        </w:rPr>
      </w:pPr>
      <w:r>
        <w:rPr>
          <w:rFonts w:hint="eastAsia" w:ascii="黑体" w:hAnsi="黑体" w:eastAsia="黑体"/>
          <w:bCs/>
          <w:color w:val="auto"/>
          <w:sz w:val="32"/>
          <w:szCs w:val="32"/>
        </w:rPr>
        <w:t>一、保险标的</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本保险合同载明地址内的下列财产可作为保险标的：</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（一）属于被保险人所有或与他人共有而由被保险人负责管理的海上水产养殖设施；</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（二）由被保险人经营管理或替他人保管的海上水产养殖设施；</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（三）其他具有法律上承认的与被保险人有经济利害关系的海上水产养殖设施。</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ascii="仿宋_GB2312" w:eastAsia="仿宋_GB2312"/>
          <w:color w:val="auto"/>
          <w:sz w:val="32"/>
          <w:szCs w:val="32"/>
        </w:rPr>
      </w:pPr>
      <w:r>
        <w:rPr>
          <w:rFonts w:hint="eastAsia" w:ascii="仿宋_GB2312" w:eastAsia="仿宋_GB2312"/>
          <w:color w:val="auto"/>
          <w:sz w:val="32"/>
          <w:szCs w:val="32"/>
        </w:rPr>
        <w:t>上述海上养殖设施包括但不限于：海上养殖网箱、养殖渔排、防浪设施等。</w:t>
      </w:r>
    </w:p>
    <w:p>
      <w:pPr>
        <w:keepNext w:val="0"/>
        <w:keepLines w:val="0"/>
        <w:pageBreakBefore w:val="0"/>
        <w:numPr>
          <w:ilvl w:val="0"/>
          <w:numId w:val="1"/>
        </w:numPr>
        <w:kinsoku/>
        <w:overflowPunct/>
        <w:topLinePunct w:val="0"/>
        <w:autoSpaceDE/>
        <w:autoSpaceDN/>
        <w:bidi w:val="0"/>
        <w:adjustRightInd w:val="0"/>
        <w:snapToGrid w:val="0"/>
        <w:spacing w:line="560" w:lineRule="exact"/>
        <w:ind w:left="0" w:leftChars="0" w:firstLine="616" w:firstLineChars="200"/>
        <w:jc w:val="both"/>
        <w:rPr>
          <w:rFonts w:hint="eastAsia" w:ascii="黑体" w:hAnsi="黑体" w:eastAsia="黑体"/>
          <w:bCs/>
          <w:color w:val="auto"/>
          <w:sz w:val="32"/>
          <w:szCs w:val="32"/>
        </w:rPr>
      </w:pPr>
      <w:r>
        <w:rPr>
          <w:rFonts w:hint="eastAsia" w:ascii="黑体" w:hAnsi="黑体" w:eastAsia="黑体"/>
          <w:bCs/>
          <w:color w:val="auto"/>
          <w:sz w:val="32"/>
          <w:szCs w:val="32"/>
        </w:rPr>
        <w:t>投保方式及保险期限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（一）投保方式。尊重渔民参保意愿，采取多种形式组织渔民参保。</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eastAsia="仿宋_GB2312" w:cs="Times New Roman"/>
          <w:color w:val="auto"/>
          <w:sz w:val="32"/>
          <w:szCs w:val="32"/>
          <w:lang w:val="en-US" w:eastAsia="zh-CN"/>
        </w:rPr>
      </w:pPr>
      <w:r>
        <w:rPr>
          <w:rFonts w:hint="eastAsia" w:ascii="仿宋_GB2312" w:hAnsi="仿宋_GB2312" w:eastAsia="仿宋_GB2312" w:cs="仿宋_GB2312"/>
          <w:b w:val="0"/>
          <w:bCs w:val="0"/>
          <w:color w:val="auto"/>
          <w:kern w:val="2"/>
          <w:sz w:val="32"/>
          <w:szCs w:val="32"/>
          <w:lang w:val="en-US" w:eastAsia="zh-CN" w:bidi="ar-SA"/>
        </w:rPr>
        <w:t>（二）保险期限。保</w:t>
      </w:r>
      <w:r>
        <w:rPr>
          <w:rFonts w:hint="eastAsia" w:ascii="仿宋_GB2312" w:eastAsia="仿宋_GB2312" w:cs="Times New Roman"/>
          <w:color w:val="auto"/>
          <w:sz w:val="32"/>
          <w:szCs w:val="32"/>
          <w:lang w:val="en-US" w:eastAsia="zh-CN"/>
        </w:rPr>
        <w:t>险期间为一年，以保险单载明的起讫时间为准。</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黑体" w:hAnsi="黑体" w:eastAsia="黑体"/>
          <w:bCs/>
          <w:color w:val="auto"/>
          <w:sz w:val="32"/>
          <w:szCs w:val="32"/>
        </w:rPr>
      </w:pPr>
      <w:r>
        <w:rPr>
          <w:rFonts w:hint="eastAsia" w:ascii="黑体" w:hAnsi="黑体" w:eastAsia="黑体"/>
          <w:bCs/>
          <w:color w:val="auto"/>
          <w:sz w:val="32"/>
          <w:szCs w:val="32"/>
          <w:lang w:val="en-US" w:eastAsia="zh-CN"/>
        </w:rPr>
        <w:t>三、</w:t>
      </w:r>
      <w:r>
        <w:rPr>
          <w:rFonts w:hint="eastAsia" w:ascii="黑体" w:hAnsi="黑体" w:eastAsia="黑体"/>
          <w:bCs/>
          <w:color w:val="auto"/>
          <w:sz w:val="32"/>
          <w:szCs w:val="32"/>
        </w:rPr>
        <w:t>保险责任</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在保险期间内，由于下列原因造成保险标的的损失，保险人按照本保险合同的约定负责赔偿：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1.火灾、爆炸；</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2.雷击、暴雨、洪水、暴风、龙卷风、冰雹、台风、飓风、暴雪、冰凌、突发性滑坡、崩塌、泥石流、地面突然下陷下沉；</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3.飞行物体及其他空中运行物体坠落。</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前款原因造成的保险事故发生时，为抢救保险标的或防止灾害蔓延，采取必要的、合理的措施而造成保险标的的损失，保险人按照本保险合同的约定也负责赔偿。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4.被保险人拥有财产所有权的自用的供电、供水、供气设备因保险事故遭受损坏，引起停电、停水、停气以致造成保险标的直接损失，保险人按照本保险合同的约定也负责赔偿。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5.保险事故发生后，被保险人为防止或减少保险标的的损失所支付的必要的、合理的费用，保险人按照本保险合同的约定也负责赔偿。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6.保险期间，保险标的被过往船舶触碰造成保险标的直接物质损坏或灭失的，依法应当由被保险人承担的。</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黑体" w:hAnsi="黑体" w:eastAsia="黑体"/>
          <w:bCs/>
          <w:color w:val="auto"/>
          <w:sz w:val="32"/>
          <w:szCs w:val="32"/>
        </w:rPr>
      </w:pPr>
      <w:r>
        <w:rPr>
          <w:rFonts w:hint="eastAsia" w:ascii="黑体" w:hAnsi="黑体" w:eastAsia="黑体"/>
          <w:bCs/>
          <w:color w:val="auto"/>
          <w:sz w:val="32"/>
          <w:szCs w:val="32"/>
        </w:rPr>
        <w:t>四、责任免除</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lang w:val="en-US" w:eastAsia="zh-CN"/>
        </w:rPr>
        <w:t>一</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下列原因造成的损失、费用，保险人不负责赔偿：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1.</w:t>
      </w:r>
      <w:r>
        <w:rPr>
          <w:rFonts w:hint="eastAsia" w:ascii="仿宋_GB2312" w:eastAsia="仿宋_GB2312" w:cs="Times New Roman"/>
          <w:color w:val="auto"/>
          <w:sz w:val="32"/>
          <w:szCs w:val="32"/>
        </w:rPr>
        <w:t>投保人、被保险人及其代表的故意或重大过失行为；</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2.</w:t>
      </w:r>
      <w:r>
        <w:rPr>
          <w:rFonts w:hint="eastAsia" w:ascii="仿宋_GB2312" w:eastAsia="仿宋_GB2312" w:cs="Times New Roman"/>
          <w:color w:val="auto"/>
          <w:sz w:val="32"/>
          <w:szCs w:val="32"/>
        </w:rPr>
        <w:t xml:space="preserve">行政行为或司法行为； </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3.</w:t>
      </w:r>
      <w:r>
        <w:rPr>
          <w:rFonts w:hint="eastAsia" w:ascii="仿宋_GB2312" w:eastAsia="仿宋_GB2312" w:cs="Times New Roman"/>
          <w:color w:val="auto"/>
          <w:sz w:val="32"/>
          <w:szCs w:val="32"/>
        </w:rPr>
        <w:t xml:space="preserve">战争、类似战争行为、敌对行动、军事行动、武装冲突、罢工、骚乱、暴动、政变、谋反、恐怖活动； </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4.</w:t>
      </w:r>
      <w:r>
        <w:rPr>
          <w:rFonts w:hint="eastAsia" w:ascii="仿宋_GB2312" w:eastAsia="仿宋_GB2312" w:cs="Times New Roman"/>
          <w:color w:val="auto"/>
          <w:sz w:val="32"/>
          <w:szCs w:val="32"/>
        </w:rPr>
        <w:t>地震、海啸及其次生灾害；</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5.</w:t>
      </w:r>
      <w:r>
        <w:rPr>
          <w:rFonts w:hint="eastAsia" w:ascii="仿宋_GB2312" w:eastAsia="仿宋_GB2312" w:cs="Times New Roman"/>
          <w:color w:val="auto"/>
          <w:sz w:val="32"/>
          <w:szCs w:val="32"/>
        </w:rPr>
        <w:t>核辐射、核裂变、核聚变、核污染及其他放射性污染；</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6.</w:t>
      </w:r>
      <w:r>
        <w:rPr>
          <w:rFonts w:hint="eastAsia" w:ascii="仿宋_GB2312" w:eastAsia="仿宋_GB2312" w:cs="Times New Roman"/>
          <w:color w:val="auto"/>
          <w:sz w:val="32"/>
          <w:szCs w:val="32"/>
        </w:rPr>
        <w:t>大气污染、土地污染、水污染及其他非放射性污染，但因保险事故造成的非放射性污染不在此限；</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7.</w:t>
      </w:r>
      <w:r>
        <w:rPr>
          <w:rFonts w:hint="eastAsia" w:ascii="仿宋_GB2312" w:eastAsia="仿宋_GB2312" w:cs="Times New Roman"/>
          <w:color w:val="auto"/>
          <w:sz w:val="32"/>
          <w:szCs w:val="32"/>
        </w:rPr>
        <w:t>保险标的的内在或潜在缺陷、自然磨损、自然损耗，大气（气候或气温）变化、正常水位变化或其他渐变原因，物质本身变化、霉烂、受潮、鼠咬、虫蛀、鸟啄、氧化、锈蚀、渗漏、自燃、烘焙；</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8.</w:t>
      </w:r>
      <w:r>
        <w:rPr>
          <w:rFonts w:hint="eastAsia" w:ascii="仿宋_GB2312" w:eastAsia="仿宋_GB2312" w:cs="Times New Roman"/>
          <w:color w:val="auto"/>
          <w:sz w:val="32"/>
          <w:szCs w:val="32"/>
        </w:rPr>
        <w:t>水箱、水管爆裂；</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9.</w:t>
      </w:r>
      <w:r>
        <w:rPr>
          <w:rFonts w:hint="eastAsia" w:ascii="仿宋_GB2312" w:eastAsia="仿宋_GB2312" w:cs="Times New Roman"/>
          <w:color w:val="auto"/>
          <w:sz w:val="32"/>
          <w:szCs w:val="32"/>
        </w:rPr>
        <w:t>盗窃、抢劫。</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lang w:val="en-US" w:eastAsia="zh-CN"/>
        </w:rPr>
        <w:t>二</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下列损失、费用，保险人也不负责赔偿：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1.保险标的遭受保险事故引起的各种间接损失；</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2.锅炉及压力容器爆炸造成其本身的损失；</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3.养殖生物本身的损失；</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4.锚固设备、底桩及养殖渔网的单独损失；</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lang w:val="en-US" w:eastAsia="zh-CN"/>
        </w:rPr>
      </w:pPr>
      <w:r>
        <w:rPr>
          <w:rFonts w:hint="eastAsia" w:ascii="仿宋_GB2312" w:eastAsia="仿宋_GB2312" w:cs="Times New Roman"/>
          <w:color w:val="auto"/>
          <w:sz w:val="32"/>
          <w:szCs w:val="32"/>
          <w:lang w:val="en-US" w:eastAsia="zh-CN"/>
        </w:rPr>
        <w:t>5.本保险合同中载明的免赔额或按本保险合同中载明的免赔率计算的免赔额。</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s="Times New Roman"/>
          <w:color w:val="auto"/>
          <w:sz w:val="32"/>
          <w:szCs w:val="32"/>
        </w:rPr>
      </w:pP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lang w:val="en-US" w:eastAsia="zh-CN"/>
        </w:rPr>
        <w:t>三</w:t>
      </w:r>
      <w:r>
        <w:rPr>
          <w:rFonts w:hint="eastAsia" w:ascii="仿宋_GB2312" w:eastAsia="仿宋_GB2312" w:cs="Times New Roman"/>
          <w:color w:val="auto"/>
          <w:sz w:val="32"/>
          <w:szCs w:val="32"/>
          <w:lang w:eastAsia="zh-CN"/>
        </w:rPr>
        <w:t>）</w:t>
      </w:r>
      <w:r>
        <w:rPr>
          <w:rFonts w:hint="eastAsia" w:ascii="仿宋_GB2312" w:eastAsia="仿宋_GB2312" w:cs="Times New Roman"/>
          <w:color w:val="auto"/>
          <w:sz w:val="32"/>
          <w:szCs w:val="32"/>
        </w:rPr>
        <w:t>其他不属于本保险合同责任范围内的损失和费用，保险人不负责赔偿。</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黑体" w:hAnsi="黑体" w:eastAsia="黑体"/>
          <w:bCs/>
          <w:color w:val="auto"/>
          <w:sz w:val="32"/>
          <w:szCs w:val="32"/>
        </w:rPr>
      </w:pPr>
      <w:r>
        <w:rPr>
          <w:rFonts w:hint="eastAsia" w:ascii="黑体" w:hAnsi="黑体" w:eastAsia="黑体" w:cs="Times New Roman"/>
          <w:bCs/>
          <w:color w:val="auto"/>
          <w:sz w:val="32"/>
          <w:szCs w:val="32"/>
        </w:rPr>
        <w:t>五、保险金额、保险费率和保费财政补贴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（一）保险金额</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both"/>
        <w:rPr>
          <w:rFonts w:hint="eastAsia" w:ascii="仿宋_GB2312" w:eastAsia="仿宋_GB2312"/>
          <w:color w:val="auto"/>
          <w:sz w:val="32"/>
          <w:szCs w:val="32"/>
        </w:rPr>
      </w:pPr>
      <w:r>
        <w:rPr>
          <w:rFonts w:hint="eastAsia" w:ascii="仿宋_GB2312" w:eastAsia="仿宋_GB2312"/>
          <w:color w:val="auto"/>
          <w:sz w:val="32"/>
          <w:szCs w:val="32"/>
        </w:rPr>
        <w:t>保险金额=Σ（各养殖设施数量×投保单价×投保比例）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eastAsia="仿宋_GB2312"/>
          <w:color w:val="auto"/>
          <w:sz w:val="32"/>
          <w:szCs w:val="32"/>
        </w:rPr>
        <w:t>根据各型号规格的养殖设施成本约定单价限额。保险金</w:t>
      </w:r>
      <w:r>
        <w:rPr>
          <w:rFonts w:hint="eastAsia" w:ascii="仿宋_GB2312" w:hAnsi="仿宋_GB2312" w:eastAsia="仿宋_GB2312" w:cs="仿宋_GB2312"/>
          <w:b w:val="0"/>
          <w:bCs w:val="0"/>
          <w:color w:val="auto"/>
          <w:kern w:val="2"/>
          <w:sz w:val="32"/>
          <w:szCs w:val="32"/>
          <w:lang w:val="en-US" w:eastAsia="zh-CN" w:bidi="ar-SA"/>
        </w:rPr>
        <w:t>额在投保单价的条件下乘以投保比例确认，投保比例为50%～100%。</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（二）保险费率</w:t>
      </w:r>
    </w:p>
    <w:tbl>
      <w:tblPr>
        <w:tblStyle w:val="2"/>
        <w:tblW w:w="7939" w:type="dxa"/>
        <w:tblInd w:w="0" w:type="dxa"/>
        <w:tblLayout w:type="fixed"/>
        <w:tblCellMar>
          <w:top w:w="0" w:type="dxa"/>
          <w:left w:w="108" w:type="dxa"/>
          <w:bottom w:w="0" w:type="dxa"/>
          <w:right w:w="108" w:type="dxa"/>
        </w:tblCellMar>
      </w:tblPr>
      <w:tblGrid>
        <w:gridCol w:w="3926"/>
        <w:gridCol w:w="4013"/>
      </w:tblGrid>
      <w:tr>
        <w:tblPrEx>
          <w:tblCellMar>
            <w:top w:w="0" w:type="dxa"/>
            <w:left w:w="108" w:type="dxa"/>
            <w:bottom w:w="0" w:type="dxa"/>
            <w:right w:w="108" w:type="dxa"/>
          </w:tblCellMar>
        </w:tblPrEx>
        <w:trPr>
          <w:trHeight w:val="583" w:hRule="atLeast"/>
        </w:trPr>
        <w:tc>
          <w:tcPr>
            <w:tcW w:w="39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9" w:firstLineChars="200"/>
              <w:jc w:val="center"/>
              <w:textAlignment w:val="center"/>
              <w:rPr>
                <w:rFonts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bidi="ar"/>
              </w:rPr>
              <w:t>养殖设施类型</w:t>
            </w:r>
          </w:p>
        </w:tc>
        <w:tc>
          <w:tcPr>
            <w:tcW w:w="40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9" w:firstLineChars="200"/>
              <w:jc w:val="center"/>
              <w:textAlignment w:val="center"/>
              <w:rPr>
                <w:rFonts w:ascii="仿宋_GB2312" w:hAnsi="仿宋_GB2312" w:eastAsia="仿宋_GB2312" w:cs="仿宋_GB2312"/>
                <w:b/>
                <w:bCs/>
                <w:color w:val="auto"/>
                <w:kern w:val="0"/>
                <w:sz w:val="32"/>
                <w:szCs w:val="32"/>
                <w:lang w:bidi="ar"/>
              </w:rPr>
            </w:pPr>
            <w:r>
              <w:rPr>
                <w:rFonts w:hint="eastAsia" w:ascii="仿宋_GB2312" w:hAnsi="仿宋_GB2312" w:eastAsia="仿宋_GB2312" w:cs="仿宋_GB2312"/>
                <w:b/>
                <w:bCs/>
                <w:color w:val="auto"/>
                <w:kern w:val="0"/>
                <w:sz w:val="32"/>
                <w:szCs w:val="32"/>
                <w:lang w:val="en-US" w:eastAsia="zh-CN" w:bidi="ar"/>
              </w:rPr>
              <w:t>基准</w:t>
            </w:r>
            <w:r>
              <w:rPr>
                <w:rFonts w:hint="eastAsia" w:ascii="仿宋_GB2312" w:hAnsi="仿宋_GB2312" w:eastAsia="仿宋_GB2312" w:cs="仿宋_GB2312"/>
                <w:b/>
                <w:bCs/>
                <w:color w:val="auto"/>
                <w:kern w:val="0"/>
                <w:sz w:val="32"/>
                <w:szCs w:val="32"/>
                <w:lang w:bidi="ar"/>
              </w:rPr>
              <w:t>费率</w:t>
            </w:r>
          </w:p>
        </w:tc>
      </w:tr>
      <w:tr>
        <w:tblPrEx>
          <w:tblCellMar>
            <w:top w:w="0" w:type="dxa"/>
            <w:left w:w="108" w:type="dxa"/>
            <w:bottom w:w="0" w:type="dxa"/>
            <w:right w:w="108" w:type="dxa"/>
          </w:tblCellMar>
        </w:tblPrEx>
        <w:trPr>
          <w:trHeight w:val="583" w:hRule="atLeast"/>
        </w:trPr>
        <w:tc>
          <w:tcPr>
            <w:tcW w:w="39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jc w:val="center"/>
              <w:textAlignment w:val="center"/>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木质网箱（塑胶浮球）</w:t>
            </w:r>
          </w:p>
        </w:tc>
        <w:tc>
          <w:tcPr>
            <w:tcW w:w="40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6" w:firstLineChars="200"/>
              <w:jc w:val="center"/>
              <w:textAlignment w:val="center"/>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4.5</w:t>
            </w:r>
            <w:r>
              <w:rPr>
                <w:rFonts w:ascii="仿宋_GB2312" w:hAnsi="仿宋_GB2312" w:eastAsia="仿宋_GB2312" w:cs="仿宋_GB2312"/>
                <w:color w:val="auto"/>
                <w:kern w:val="0"/>
                <w:sz w:val="32"/>
                <w:szCs w:val="32"/>
                <w:lang w:bidi="ar"/>
              </w:rPr>
              <w:t>%</w:t>
            </w:r>
          </w:p>
        </w:tc>
      </w:tr>
      <w:tr>
        <w:tblPrEx>
          <w:tblCellMar>
            <w:top w:w="0" w:type="dxa"/>
            <w:left w:w="108" w:type="dxa"/>
            <w:bottom w:w="0" w:type="dxa"/>
            <w:right w:w="108" w:type="dxa"/>
          </w:tblCellMar>
        </w:tblPrEx>
        <w:trPr>
          <w:trHeight w:val="583" w:hRule="atLeast"/>
        </w:trPr>
        <w:tc>
          <w:tcPr>
            <w:tcW w:w="39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6" w:firstLineChars="200"/>
              <w:jc w:val="center"/>
              <w:textAlignment w:val="center"/>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塑胶网箱</w:t>
            </w:r>
          </w:p>
        </w:tc>
        <w:tc>
          <w:tcPr>
            <w:tcW w:w="40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6" w:firstLineChars="200"/>
              <w:jc w:val="center"/>
              <w:textAlignment w:val="center"/>
              <w:rPr>
                <w:rFonts w:ascii="仿宋_GB2312" w:hAnsi="仿宋_GB2312" w:eastAsia="仿宋_GB2312" w:cs="仿宋_GB2312"/>
                <w:color w:val="auto"/>
                <w:kern w:val="0"/>
                <w:sz w:val="32"/>
                <w:szCs w:val="32"/>
                <w:lang w:bidi="ar"/>
              </w:rPr>
            </w:pPr>
            <w:r>
              <w:rPr>
                <w:rFonts w:ascii="仿宋_GB2312" w:hAnsi="仿宋_GB2312" w:eastAsia="仿宋_GB2312" w:cs="仿宋_GB2312"/>
                <w:color w:val="auto"/>
                <w:kern w:val="0"/>
                <w:sz w:val="32"/>
                <w:szCs w:val="32"/>
                <w:lang w:bidi="ar"/>
              </w:rPr>
              <w:t>4.0%</w:t>
            </w:r>
          </w:p>
        </w:tc>
      </w:tr>
      <w:tr>
        <w:tblPrEx>
          <w:tblCellMar>
            <w:top w:w="0" w:type="dxa"/>
            <w:left w:w="108" w:type="dxa"/>
            <w:bottom w:w="0" w:type="dxa"/>
            <w:right w:w="108" w:type="dxa"/>
          </w:tblCellMar>
        </w:tblPrEx>
        <w:trPr>
          <w:trHeight w:val="583" w:hRule="atLeast"/>
        </w:trPr>
        <w:tc>
          <w:tcPr>
            <w:tcW w:w="39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6" w:firstLineChars="200"/>
              <w:jc w:val="center"/>
              <w:textAlignment w:val="center"/>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深水大网箱</w:t>
            </w:r>
          </w:p>
        </w:tc>
        <w:tc>
          <w:tcPr>
            <w:tcW w:w="40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6" w:firstLineChars="200"/>
              <w:jc w:val="center"/>
              <w:textAlignment w:val="center"/>
              <w:rPr>
                <w:rFonts w:ascii="仿宋_GB2312" w:hAnsi="仿宋_GB2312" w:eastAsia="仿宋_GB2312" w:cs="仿宋_GB2312"/>
                <w:color w:val="auto"/>
                <w:kern w:val="0"/>
                <w:sz w:val="32"/>
                <w:szCs w:val="32"/>
                <w:lang w:bidi="ar"/>
              </w:rPr>
            </w:pPr>
            <w:r>
              <w:rPr>
                <w:rFonts w:ascii="仿宋_GB2312" w:hAnsi="仿宋_GB2312" w:eastAsia="仿宋_GB2312" w:cs="仿宋_GB2312"/>
                <w:color w:val="auto"/>
                <w:kern w:val="0"/>
                <w:sz w:val="32"/>
                <w:szCs w:val="32"/>
                <w:lang w:bidi="ar"/>
              </w:rPr>
              <w:t>3.0%</w:t>
            </w:r>
          </w:p>
        </w:tc>
      </w:tr>
      <w:tr>
        <w:tblPrEx>
          <w:tblCellMar>
            <w:top w:w="0" w:type="dxa"/>
            <w:left w:w="108" w:type="dxa"/>
            <w:bottom w:w="0" w:type="dxa"/>
            <w:right w:w="108" w:type="dxa"/>
          </w:tblCellMar>
        </w:tblPrEx>
        <w:trPr>
          <w:trHeight w:val="583" w:hRule="atLeast"/>
        </w:trPr>
        <w:tc>
          <w:tcPr>
            <w:tcW w:w="39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6" w:firstLineChars="200"/>
              <w:jc w:val="center"/>
              <w:textAlignment w:val="center"/>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塑胶浮球</w:t>
            </w:r>
          </w:p>
        </w:tc>
        <w:tc>
          <w:tcPr>
            <w:tcW w:w="40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6" w:firstLineChars="200"/>
              <w:jc w:val="center"/>
              <w:textAlignment w:val="center"/>
              <w:rPr>
                <w:rFonts w:ascii="仿宋_GB2312" w:hAnsi="仿宋_GB2312" w:eastAsia="仿宋_GB2312" w:cs="仿宋_GB2312"/>
                <w:color w:val="auto"/>
                <w:kern w:val="0"/>
                <w:sz w:val="32"/>
                <w:szCs w:val="32"/>
                <w:lang w:bidi="ar"/>
              </w:rPr>
            </w:pPr>
            <w:r>
              <w:rPr>
                <w:rFonts w:ascii="仿宋_GB2312" w:hAnsi="仿宋_GB2312" w:eastAsia="仿宋_GB2312" w:cs="仿宋_GB2312"/>
                <w:color w:val="auto"/>
                <w:kern w:val="0"/>
                <w:sz w:val="32"/>
                <w:szCs w:val="32"/>
                <w:lang w:bidi="ar"/>
              </w:rPr>
              <w:t>1.5%</w:t>
            </w:r>
          </w:p>
        </w:tc>
      </w:tr>
      <w:tr>
        <w:tblPrEx>
          <w:tblCellMar>
            <w:top w:w="0" w:type="dxa"/>
            <w:left w:w="108" w:type="dxa"/>
            <w:bottom w:w="0" w:type="dxa"/>
            <w:right w:w="108" w:type="dxa"/>
          </w:tblCellMar>
        </w:tblPrEx>
        <w:trPr>
          <w:trHeight w:val="720" w:hRule="atLeast"/>
        </w:trPr>
        <w:tc>
          <w:tcPr>
            <w:tcW w:w="3926"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616" w:firstLineChars="200"/>
              <w:jc w:val="center"/>
              <w:textAlignment w:val="center"/>
              <w:rPr>
                <w:rFonts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其他养殖设施或平台</w:t>
            </w:r>
          </w:p>
        </w:tc>
        <w:tc>
          <w:tcPr>
            <w:tcW w:w="4013"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590" w:lineRule="exact"/>
              <w:ind w:left="0" w:leftChars="0" w:firstLine="0" w:firstLineChars="0"/>
              <w:jc w:val="center"/>
              <w:textAlignment w:val="center"/>
              <w:rPr>
                <w:rFonts w:ascii="仿宋" w:hAnsi="仿宋" w:cs="仿宋"/>
                <w:color w:val="auto"/>
                <w:kern w:val="0"/>
                <w:sz w:val="32"/>
                <w:szCs w:val="32"/>
              </w:rPr>
            </w:pPr>
            <w:r>
              <w:rPr>
                <w:rFonts w:hint="eastAsia" w:ascii="仿宋_GB2312" w:hAnsi="仿宋_GB2312" w:eastAsia="仿宋_GB2312" w:cs="仿宋_GB2312"/>
                <w:color w:val="auto"/>
                <w:kern w:val="0"/>
                <w:sz w:val="32"/>
                <w:szCs w:val="32"/>
              </w:rPr>
              <w:t>根据实际情况评估后参保</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16" w:firstLineChars="200"/>
        <w:jc w:val="left"/>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（三）财政补贴</w:t>
      </w:r>
    </w:p>
    <w:p>
      <w:pPr>
        <w:keepNext w:val="0"/>
        <w:keepLines w:val="0"/>
        <w:pageBreakBefore w:val="0"/>
        <w:kinsoku/>
        <w:overflowPunct/>
        <w:topLinePunct w:val="0"/>
        <w:autoSpaceDE/>
        <w:autoSpaceDN/>
        <w:bidi w:val="0"/>
        <w:adjustRightInd w:val="0"/>
        <w:snapToGrid w:val="0"/>
        <w:spacing w:line="560" w:lineRule="exact"/>
        <w:ind w:left="0" w:leftChars="0" w:firstLine="580" w:firstLineChars="0"/>
        <w:rPr>
          <w:rFonts w:hint="eastAsia" w:ascii="仿宋_GB2312" w:eastAsia="仿宋_GB2312"/>
          <w:color w:val="auto"/>
          <w:sz w:val="32"/>
          <w:szCs w:val="32"/>
        </w:rPr>
      </w:pPr>
      <w:r>
        <w:rPr>
          <w:rFonts w:hint="eastAsia" w:ascii="仿宋_GB2312" w:eastAsia="仿宋_GB2312"/>
          <w:color w:val="auto"/>
          <w:sz w:val="32"/>
          <w:szCs w:val="32"/>
        </w:rPr>
        <w:t>省级财政补贴30%、市、县两级财政补贴10%（有条件的可自行提高）</w:t>
      </w:r>
      <w:r>
        <w:rPr>
          <w:rFonts w:hint="eastAsia" w:ascii="仿宋_GB2312" w:eastAsia="仿宋_GB2312"/>
          <w:color w:val="auto"/>
          <w:sz w:val="32"/>
          <w:szCs w:val="32"/>
          <w:lang w:eastAsia="zh-CN"/>
        </w:rPr>
        <w:t>，</w:t>
      </w:r>
      <w:r>
        <w:rPr>
          <w:rFonts w:hint="eastAsia" w:ascii="仿宋_GB2312" w:hAnsi="仿宋" w:eastAsia="仿宋_GB2312" w:cs="Times New Roman"/>
          <w:color w:val="auto"/>
          <w:spacing w:val="-9"/>
          <w:kern w:val="2"/>
          <w:sz w:val="32"/>
          <w:szCs w:val="20"/>
          <w:highlight w:val="none"/>
          <w:lang w:val="en-US" w:eastAsia="zh-CN"/>
        </w:rPr>
        <w:t>各级财政保费补贴标准按照扣除各项承保优惠后计算</w:t>
      </w:r>
      <w:r>
        <w:rPr>
          <w:rFonts w:hint="eastAsia" w:ascii="仿宋_GB2312" w:eastAsia="仿宋_GB2312"/>
          <w:color w:val="auto"/>
          <w:sz w:val="32"/>
          <w:szCs w:val="32"/>
        </w:rPr>
        <w:t>。</w:t>
      </w:r>
    </w:p>
    <w:p>
      <w:pPr>
        <w:keepNext w:val="0"/>
        <w:keepLines w:val="0"/>
        <w:pageBreakBefore w:val="0"/>
        <w:kinsoku/>
        <w:overflowPunct/>
        <w:topLinePunct w:val="0"/>
        <w:autoSpaceDE/>
        <w:autoSpaceDN/>
        <w:bidi w:val="0"/>
        <w:adjustRightInd w:val="0"/>
        <w:snapToGrid w:val="0"/>
        <w:spacing w:line="560" w:lineRule="exact"/>
        <w:ind w:left="0" w:leftChars="0" w:firstLine="616" w:firstLineChars="200"/>
        <w:jc w:val="left"/>
        <w:rPr>
          <w:rFonts w:ascii="黑体" w:hAnsi="黑体" w:eastAsia="黑体"/>
          <w:bCs/>
          <w:color w:val="auto"/>
          <w:sz w:val="32"/>
          <w:szCs w:val="32"/>
        </w:rPr>
      </w:pPr>
      <w:r>
        <w:rPr>
          <w:rFonts w:hint="eastAsia" w:ascii="黑体" w:hAnsi="黑体" w:eastAsia="黑体" w:cs="Times New Roman"/>
          <w:bCs/>
          <w:color w:val="auto"/>
          <w:sz w:val="32"/>
          <w:szCs w:val="32"/>
        </w:rPr>
        <w:t>六</w:t>
      </w:r>
      <w:r>
        <w:rPr>
          <w:rFonts w:hint="eastAsia" w:ascii="黑体" w:hAnsi="黑体" w:eastAsia="黑体"/>
          <w:bCs/>
          <w:color w:val="auto"/>
          <w:sz w:val="32"/>
          <w:szCs w:val="32"/>
        </w:rPr>
        <w:t>、赔偿处理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16"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保险事故发生时，被保险人对保险标的不具有保险利益的，不得向保险人请求赔偿保险金。</w:t>
      </w:r>
    </w:p>
    <w:p>
      <w:r>
        <w:rPr>
          <w:rFonts w:hint="eastAsia" w:ascii="仿宋_GB2312" w:hAnsi="仿宋_GB2312" w:eastAsia="仿宋_GB2312" w:cs="仿宋_GB2312"/>
          <w:b w:val="0"/>
          <w:bCs w:val="0"/>
          <w:color w:val="auto"/>
          <w:kern w:val="2"/>
          <w:sz w:val="32"/>
          <w:szCs w:val="32"/>
          <w:lang w:val="en-US" w:eastAsia="zh-CN" w:bidi="ar-SA"/>
        </w:rPr>
        <w:t>（二）相对免赔额：</w:t>
      </w:r>
      <w:r>
        <w:rPr>
          <w:rFonts w:hint="eastAsia" w:ascii="仿宋_GB2312" w:hAnsi="仿宋_GB2312" w:eastAsia="仿宋_GB2312" w:cs="仿宋_GB2312"/>
          <w:b w:val="0"/>
          <w:bCs w:val="0"/>
          <w:color w:val="auto"/>
          <w:sz w:val="32"/>
          <w:szCs w:val="32"/>
          <w:lang w:val="en-US" w:eastAsia="zh-CN"/>
        </w:rPr>
        <w:t>因保险责任导致被保险养殖设施发生部分损失的，每次事故相对免赔额为5000元。</w:t>
      </w:r>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4070B"/>
    <w:multiLevelType w:val="singleLevel"/>
    <w:tmpl w:val="0874070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B6DF0"/>
    <w:rsid w:val="2D873055"/>
    <w:rsid w:val="720B6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2026-01-13T08:40:00Z</dcterms:created>
  <dc:creator>傅锦祥。</dc:creator>
  <cp:lastModifiedBy>傅锦祥。</cp:lastModifiedBy>
  <dcterms:modified xsi:type="dcterms:W3CDTF">2026-01-13T08:41:28Z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D0AC75114C4C4918ACDD0A8D9754A67C</vt:lpwstr>
  </property>
</Properties>
</file>