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overflowPunct/>
        <w:topLinePunct w:val="0"/>
        <w:autoSpaceDE/>
        <w:autoSpaceDN/>
        <w:bidi w:val="0"/>
        <w:adjustRightInd w:val="0"/>
        <w:snapToGrid w:val="0"/>
        <w:spacing w:after="0" w:line="590" w:lineRule="exact"/>
        <w:ind w:left="0" w:leftChars="0"/>
        <w:rPr>
          <w:rFonts w:hint="eastAsia" w:ascii="黑体" w:hAnsi="黑体" w:eastAsia="黑体" w:cs="黑体"/>
          <w:bCs/>
          <w:color w:val="auto"/>
          <w:sz w:val="31"/>
          <w:szCs w:val="31"/>
          <w:lang w:val="en-US" w:eastAsia="zh-CN"/>
        </w:rPr>
      </w:pPr>
      <w:r>
        <w:rPr>
          <w:rFonts w:hint="eastAsia" w:ascii="黑体" w:hAnsi="黑体" w:eastAsia="黑体" w:cs="黑体"/>
          <w:bCs/>
          <w:color w:val="auto"/>
          <w:sz w:val="31"/>
          <w:szCs w:val="31"/>
          <w:lang w:val="en-US" w:eastAsia="zh-CN"/>
        </w:rPr>
        <w:t>附件7</w:t>
      </w: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eastAsia="方正小标宋简体"/>
          <w:bCs/>
          <w:color w:val="auto"/>
          <w:sz w:val="44"/>
          <w:szCs w:val="44"/>
        </w:rPr>
      </w:pPr>
    </w:p>
    <w:p>
      <w:pPr>
        <w:keepNext w:val="0"/>
        <w:keepLines w:val="0"/>
        <w:pageBreakBefore w:val="0"/>
        <w:kinsoku/>
        <w:overflowPunct/>
        <w:topLinePunct w:val="0"/>
        <w:autoSpaceDE/>
        <w:autoSpaceDN/>
        <w:bidi w:val="0"/>
        <w:adjustRightInd w:val="0"/>
        <w:snapToGrid w:val="0"/>
        <w:spacing w:line="590" w:lineRule="exact"/>
        <w:ind w:left="0" w:leftChars="0"/>
        <w:jc w:val="center"/>
        <w:rPr>
          <w:rFonts w:ascii="方正小标宋简体" w:eastAsia="方正小标宋简体"/>
          <w:bCs/>
          <w:color w:val="auto"/>
          <w:sz w:val="44"/>
          <w:szCs w:val="44"/>
        </w:rPr>
      </w:pPr>
      <w:bookmarkStart w:id="0" w:name="_GoBack"/>
      <w:r>
        <w:rPr>
          <w:rFonts w:hint="eastAsia" w:ascii="方正小标宋简体" w:eastAsia="方正小标宋简体"/>
          <w:bCs/>
          <w:color w:val="auto"/>
          <w:sz w:val="44"/>
          <w:szCs w:val="44"/>
        </w:rPr>
        <w:t>水产养殖台风指数保险</w:t>
      </w:r>
      <w:r>
        <w:rPr>
          <w:rFonts w:hint="eastAsia" w:ascii="方正小标宋简体" w:eastAsia="方正小标宋简体"/>
          <w:bCs/>
          <w:color w:val="auto"/>
          <w:sz w:val="44"/>
          <w:szCs w:val="44"/>
          <w:lang w:val="en-US" w:eastAsia="zh-CN"/>
        </w:rPr>
        <w:t>实施</w:t>
      </w:r>
      <w:r>
        <w:rPr>
          <w:rFonts w:hint="eastAsia" w:ascii="方正小标宋简体" w:eastAsia="方正小标宋简体"/>
          <w:bCs/>
          <w:color w:val="auto"/>
          <w:sz w:val="44"/>
          <w:szCs w:val="44"/>
        </w:rPr>
        <w:t>方案</w:t>
      </w:r>
      <w:bookmarkEnd w:id="0"/>
    </w:p>
    <w:p>
      <w:pPr>
        <w:keepNext w:val="0"/>
        <w:keepLines w:val="0"/>
        <w:pageBreakBefore w:val="0"/>
        <w:kinsoku/>
        <w:overflowPunct/>
        <w:topLinePunct w:val="0"/>
        <w:autoSpaceDE/>
        <w:autoSpaceDN/>
        <w:bidi w:val="0"/>
        <w:adjustRightInd w:val="0"/>
        <w:snapToGrid w:val="0"/>
        <w:spacing w:line="590" w:lineRule="exact"/>
        <w:ind w:left="0" w:leftChars="0"/>
        <w:jc w:val="center"/>
        <w:rPr>
          <w:rFonts w:ascii="方正小标宋简体" w:eastAsia="方正小标宋简体"/>
          <w:bCs/>
          <w:color w:val="auto"/>
          <w:sz w:val="44"/>
          <w:szCs w:val="44"/>
        </w:rPr>
      </w:pP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left"/>
        <w:rPr>
          <w:rFonts w:ascii="黑体" w:hAnsi="黑体" w:eastAsia="黑体"/>
          <w:bCs/>
          <w:color w:val="auto"/>
          <w:sz w:val="32"/>
          <w:szCs w:val="32"/>
        </w:rPr>
      </w:pPr>
      <w:r>
        <w:rPr>
          <w:rFonts w:hint="eastAsia" w:ascii="黑体" w:hAnsi="黑体" w:eastAsia="黑体"/>
          <w:bCs/>
          <w:color w:val="auto"/>
          <w:sz w:val="32"/>
          <w:szCs w:val="32"/>
        </w:rPr>
        <w:t>一、保险标的</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同时符合下列条件的养殖水产可作为保险标的（以下简称保险水产）：</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（一）保险水产应符合国家及地方相关水产养殖管理部门相关规定；</w:t>
      </w:r>
    </w:p>
    <w:p>
      <w:pPr>
        <w:keepNext w:val="0"/>
        <w:keepLines w:val="0"/>
        <w:pageBreakBefore w:val="0"/>
        <w:kinsoku/>
        <w:overflowPunct/>
        <w:topLinePunct w:val="0"/>
        <w:autoSpaceDE/>
        <w:autoSpaceDN/>
        <w:bidi w:val="0"/>
        <w:adjustRightInd w:val="0"/>
        <w:snapToGrid w:val="0"/>
        <w:spacing w:line="560" w:lineRule="exact"/>
        <w:ind w:firstLine="616"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（二）保险水产的品种、规格、养殖密度均符合养殖规范、养殖标准和卫生要求；</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（三）养殖基础设施完备，运行正常；</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仿宋_GB2312" w:eastAsia="仿宋_GB2312"/>
          <w:color w:val="auto"/>
          <w:sz w:val="32"/>
          <w:szCs w:val="32"/>
        </w:rPr>
      </w:pPr>
      <w:r>
        <w:rPr>
          <w:rFonts w:hint="eastAsia" w:ascii="仿宋_GB2312" w:eastAsia="仿宋_GB2312"/>
          <w:color w:val="auto"/>
          <w:sz w:val="32"/>
          <w:szCs w:val="32"/>
        </w:rPr>
        <w:t>（四）在保险单中列明的养殖地点内饲养。</w:t>
      </w:r>
    </w:p>
    <w:p>
      <w:pPr>
        <w:keepNext w:val="0"/>
        <w:keepLines w:val="0"/>
        <w:pageBreakBefore w:val="0"/>
        <w:numPr>
          <w:ilvl w:val="0"/>
          <w:numId w:val="1"/>
        </w:numPr>
        <w:kinsoku/>
        <w:overflowPunct/>
        <w:topLinePunct w:val="0"/>
        <w:autoSpaceDE/>
        <w:autoSpaceDN/>
        <w:bidi w:val="0"/>
        <w:adjustRightInd w:val="0"/>
        <w:snapToGrid w:val="0"/>
        <w:spacing w:line="560" w:lineRule="exact"/>
        <w:ind w:left="0" w:leftChars="0" w:firstLine="616" w:firstLineChars="200"/>
        <w:jc w:val="both"/>
        <w:rPr>
          <w:rFonts w:hint="eastAsia" w:ascii="黑体" w:hAnsi="黑体" w:eastAsia="黑体"/>
          <w:bCs/>
          <w:color w:val="auto"/>
          <w:sz w:val="32"/>
          <w:szCs w:val="32"/>
        </w:rPr>
      </w:pPr>
      <w:r>
        <w:rPr>
          <w:rFonts w:hint="eastAsia" w:ascii="黑体" w:hAnsi="黑体" w:eastAsia="黑体"/>
          <w:bCs/>
          <w:color w:val="auto"/>
          <w:sz w:val="32"/>
          <w:szCs w:val="32"/>
        </w:rPr>
        <w:t>投保方式及保险期限</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9" w:firstLineChars="200"/>
        <w:jc w:val="both"/>
        <w:rPr>
          <w:rFonts w:hint="eastAsia" w:ascii="仿宋_GB2312" w:eastAsia="仿宋_GB2312" w:cs="Times New Roman"/>
          <w:color w:val="auto"/>
          <w:sz w:val="32"/>
          <w:szCs w:val="32"/>
          <w:lang w:eastAsia="zh-CN"/>
        </w:rPr>
      </w:pPr>
      <w:r>
        <w:rPr>
          <w:rFonts w:hint="eastAsia" w:ascii="楷体" w:hAnsi="楷体" w:eastAsia="楷体" w:cs="楷体"/>
          <w:b/>
          <w:bCs/>
          <w:color w:val="auto"/>
          <w:sz w:val="32"/>
          <w:szCs w:val="32"/>
          <w:lang w:val="en-US" w:eastAsia="zh-CN"/>
        </w:rPr>
        <w:t>（一）投保方式。</w:t>
      </w:r>
      <w:r>
        <w:rPr>
          <w:rFonts w:hint="eastAsia" w:ascii="仿宋_GB2312" w:eastAsia="仿宋_GB2312" w:cs="Times New Roman"/>
          <w:color w:val="auto"/>
          <w:sz w:val="32"/>
          <w:szCs w:val="32"/>
        </w:rPr>
        <w:t>尊重渔民参保意愿</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采取多种形式组织渔民参保</w:t>
      </w:r>
      <w:r>
        <w:rPr>
          <w:rFonts w:hint="eastAsia" w:ascii="仿宋_GB2312" w:eastAsia="仿宋_GB2312" w:cs="Times New Roman"/>
          <w:color w:val="auto"/>
          <w:sz w:val="32"/>
          <w:szCs w:val="32"/>
          <w:lang w:eastAsia="zh-CN"/>
        </w:rPr>
        <w:t>。</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9" w:firstLineChars="200"/>
        <w:jc w:val="both"/>
        <w:rPr>
          <w:rFonts w:hint="eastAsia" w:ascii="仿宋_GB2312" w:eastAsia="仿宋_GB2312" w:cs="Times New Roman"/>
          <w:color w:val="auto"/>
          <w:sz w:val="32"/>
          <w:szCs w:val="32"/>
          <w:lang w:val="en-US" w:eastAsia="zh-CN"/>
        </w:rPr>
      </w:pPr>
      <w:r>
        <w:rPr>
          <w:rFonts w:hint="eastAsia" w:ascii="楷体" w:hAnsi="楷体" w:eastAsia="楷体" w:cs="楷体"/>
          <w:b/>
          <w:bCs/>
          <w:color w:val="auto"/>
          <w:sz w:val="32"/>
          <w:szCs w:val="32"/>
          <w:lang w:val="en-US" w:eastAsia="zh-CN"/>
        </w:rPr>
        <w:t>（二）保险期限。</w:t>
      </w:r>
      <w:r>
        <w:rPr>
          <w:rFonts w:hint="eastAsia" w:ascii="仿宋_GB2312" w:eastAsia="仿宋_GB2312" w:cs="Times New Roman"/>
          <w:color w:val="auto"/>
          <w:sz w:val="32"/>
          <w:szCs w:val="32"/>
          <w:lang w:val="en-US" w:eastAsia="zh-CN"/>
        </w:rPr>
        <w:t>除另有约定外，保险期间为一年，以保险单载明的起讫时间为准。</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黑体" w:hAnsi="黑体" w:eastAsia="黑体"/>
          <w:bCs/>
          <w:color w:val="auto"/>
          <w:sz w:val="32"/>
          <w:szCs w:val="32"/>
        </w:rPr>
      </w:pPr>
      <w:r>
        <w:rPr>
          <w:rFonts w:hint="eastAsia" w:ascii="黑体" w:hAnsi="黑体" w:eastAsia="黑体"/>
          <w:bCs/>
          <w:color w:val="auto"/>
          <w:sz w:val="32"/>
          <w:szCs w:val="32"/>
          <w:lang w:val="en-US" w:eastAsia="zh-CN"/>
        </w:rPr>
        <w:t>三、</w:t>
      </w:r>
      <w:r>
        <w:rPr>
          <w:rFonts w:hint="eastAsia" w:ascii="黑体" w:hAnsi="黑体" w:eastAsia="黑体"/>
          <w:bCs/>
          <w:color w:val="auto"/>
          <w:sz w:val="32"/>
          <w:szCs w:val="32"/>
        </w:rPr>
        <w:t>保险责任</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在保险期间内，当台风影响期内被保险养殖区域的日极大风速对应的风力等级达到保险合同约定的起赔标准，视为保险事故发生，保险人按本保险合同约定负责赔偿。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被保险养殖区域的日极大风速对应的风力等级以约定的气象观测站实测数据为准，气象观测站的编号在保险单中载明。</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仿宋_GB2312" w:eastAsia="仿宋_GB2312"/>
          <w:color w:val="auto"/>
          <w:sz w:val="32"/>
          <w:szCs w:val="32"/>
        </w:rPr>
      </w:pPr>
      <w:r>
        <w:rPr>
          <w:rFonts w:hint="eastAsia" w:ascii="仿宋_GB2312" w:eastAsia="仿宋_GB2312"/>
          <w:color w:val="auto"/>
          <w:sz w:val="32"/>
          <w:szCs w:val="32"/>
        </w:rPr>
        <w:t>（一）气象观测站选取：从养殖区域所在保险区域可选气象观测站中选取3个气象观测站，其中1个气象观测站按就近原则进行选取。</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仿宋_GB2312" w:eastAsia="仿宋_GB2312"/>
          <w:color w:val="auto"/>
          <w:sz w:val="32"/>
          <w:szCs w:val="32"/>
        </w:rPr>
      </w:pPr>
      <w:r>
        <w:rPr>
          <w:rFonts w:hint="eastAsia" w:ascii="仿宋_GB2312" w:eastAsia="仿宋_GB2312"/>
          <w:color w:val="auto"/>
          <w:sz w:val="32"/>
          <w:szCs w:val="32"/>
        </w:rPr>
        <w:t>（二）理赔时采用约定的3个气象观测站中触发赔付金额最高且数据正常的气象观测站数据作为理赔依据。</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仿宋_GB2312" w:eastAsia="仿宋_GB2312"/>
          <w:color w:val="auto"/>
          <w:sz w:val="32"/>
          <w:szCs w:val="32"/>
        </w:rPr>
      </w:pPr>
      <w:r>
        <w:rPr>
          <w:rFonts w:hint="eastAsia" w:ascii="仿宋_GB2312" w:eastAsia="仿宋_GB2312"/>
          <w:color w:val="auto"/>
          <w:sz w:val="32"/>
          <w:szCs w:val="32"/>
        </w:rPr>
        <w:t>（三）数据异常约定：经省级气象部门证明约定气象观测站发生故障导致数据失真或缺测时，若约定气象观测站中的1</w:t>
      </w:r>
      <w:r>
        <w:rPr>
          <w:rFonts w:hint="eastAsia" w:ascii="仿宋_GB2312" w:eastAsia="仿宋_GB2312"/>
          <w:color w:val="auto"/>
          <w:sz w:val="32"/>
          <w:szCs w:val="32"/>
          <w:lang w:eastAsia="zh-CN"/>
        </w:rPr>
        <w:t>～</w:t>
      </w:r>
      <w:r>
        <w:rPr>
          <w:rFonts w:hint="eastAsia" w:ascii="仿宋_GB2312" w:eastAsia="仿宋_GB2312"/>
          <w:color w:val="auto"/>
          <w:sz w:val="32"/>
          <w:szCs w:val="32"/>
        </w:rPr>
        <w:t>2个气象观测站的数据缺测或失真，采用其他约定的气象观测站数据作为理赔依据。若3个约定气象观测站数据均缺测或失真，以保险区域可选气象观测站中其他气象观测站触发赔付金额最高且数据正常的气象观测站数据作为理赔依据。</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黑体" w:hAnsi="黑体" w:eastAsia="黑体"/>
          <w:bCs/>
          <w:color w:val="auto"/>
          <w:sz w:val="32"/>
          <w:szCs w:val="32"/>
        </w:rPr>
      </w:pPr>
      <w:r>
        <w:rPr>
          <w:rFonts w:hint="eastAsia" w:ascii="黑体" w:hAnsi="黑体" w:eastAsia="黑体"/>
          <w:bCs/>
          <w:color w:val="auto"/>
          <w:sz w:val="32"/>
          <w:szCs w:val="32"/>
        </w:rPr>
        <w:t>四、责任免除</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lang w:val="en-US" w:eastAsia="zh-CN"/>
        </w:rPr>
        <w:t>一</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lang w:val="en-US" w:eastAsia="zh-CN"/>
        </w:rPr>
        <w:t>下列原因造成的损失、费用和责任，保险人不负责赔偿：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1.投保人、被保险人及其雇工的管理不善、故意行为、重大过失行为、违法行为、犯罪行为；</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2.战争、军事行动、恐怖行动、敌对行为、武装冲突、民间冲突、罢工、骚乱或暴动；</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3.行政行为或司法行为；</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4.水污染、大气污染、土地污染、核辐射、核裂变、核聚变、核污染及其他放射性污染；</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5.第三人、投保人或被保险人的恶意破坏行为。</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（二）下列损失、费用，保险人也不负责赔偿：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1.因台风事件以外的原因导致的损失；</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2.未达到本保险合同约定的台风事件标准情况下的损失；</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3.被保险人的各种间接损失。</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lang w:val="en-US" w:eastAsia="zh-CN"/>
        </w:rPr>
        <w:t>（三）其他不属于本保险责任范围的损失、费用</w:t>
      </w:r>
      <w:r>
        <w:rPr>
          <w:rFonts w:hint="eastAsia" w:ascii="仿宋_GB2312" w:eastAsia="仿宋_GB2312" w:cs="Times New Roman"/>
          <w:color w:val="auto"/>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黑体" w:hAnsi="黑体" w:eastAsia="黑体"/>
          <w:bCs/>
          <w:color w:val="auto"/>
          <w:sz w:val="32"/>
          <w:szCs w:val="32"/>
        </w:rPr>
      </w:pPr>
      <w:r>
        <w:rPr>
          <w:rFonts w:hint="eastAsia" w:ascii="黑体" w:hAnsi="黑体" w:eastAsia="黑体" w:cs="Times New Roman"/>
          <w:bCs/>
          <w:color w:val="auto"/>
          <w:sz w:val="32"/>
          <w:szCs w:val="32"/>
        </w:rPr>
        <w:t>五、保险金额、保险费率和保费财政补贴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（一）保险金额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保险水产单位保险金额为1000元/份，可投保多份，投保份数参照保险水产所投入的综合成本确定，具体由投保人与保险人协商确定，并在保险单中载明。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保险金额=单位保险金额×保险份数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（二）保险费率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基准费率：4.5%～6.5%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保险费率根据所选3个气象观测站点中费率最高的一个予以确定。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（三）财政补贴政策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省级财政补贴30%；市、县两级财政补贴10%（有条件的市县可自行提高）。</w:t>
      </w:r>
      <w:r>
        <w:rPr>
          <w:rFonts w:hint="eastAsia" w:ascii="仿宋_GB2312" w:hAnsi="仿宋_GB2312" w:cs="仿宋_GB2312"/>
          <w:b w:val="0"/>
          <w:bCs w:val="0"/>
          <w:color w:val="auto"/>
          <w:kern w:val="2"/>
          <w:sz w:val="32"/>
          <w:szCs w:val="32"/>
          <w:lang w:val="en-US" w:eastAsia="zh-CN" w:bidi="ar-SA"/>
        </w:rPr>
        <w:t>各级</w:t>
      </w:r>
      <w:r>
        <w:rPr>
          <w:rFonts w:hint="eastAsia" w:ascii="仿宋_GB2312" w:hAnsi="仿宋" w:eastAsia="仿宋_GB2312" w:cs="Times New Roman"/>
          <w:color w:val="auto"/>
          <w:spacing w:val="-9"/>
          <w:kern w:val="2"/>
          <w:sz w:val="32"/>
          <w:szCs w:val="20"/>
          <w:highlight w:val="none"/>
          <w:lang w:val="en-US" w:eastAsia="zh-CN"/>
        </w:rPr>
        <w:t>财政保费</w:t>
      </w:r>
      <w:r>
        <w:rPr>
          <w:rFonts w:hint="eastAsia" w:ascii="仿宋_GB2312" w:hAnsi="仿宋" w:cs="Times New Roman"/>
          <w:color w:val="auto"/>
          <w:spacing w:val="-9"/>
          <w:kern w:val="2"/>
          <w:sz w:val="32"/>
          <w:szCs w:val="20"/>
          <w:highlight w:val="none"/>
          <w:lang w:val="en-US" w:eastAsia="zh-CN"/>
        </w:rPr>
        <w:t>补贴标准按照扣除各项承保优惠后计算。</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黑体" w:hAnsi="黑体" w:eastAsia="黑体"/>
          <w:bCs/>
          <w:color w:val="auto"/>
          <w:sz w:val="32"/>
          <w:szCs w:val="32"/>
        </w:rPr>
      </w:pP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、赔偿处理</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在被保险养殖区域内，</w:t>
      </w:r>
      <w:r>
        <w:rPr>
          <w:rFonts w:hint="eastAsia" w:ascii="仿宋_GB2312" w:hAnsi="仿宋_GB2312" w:eastAsia="仿宋_GB2312" w:cs="仿宋_GB2312"/>
          <w:color w:val="auto"/>
          <w:spacing w:val="6"/>
          <w:sz w:val="32"/>
          <w:szCs w:val="32"/>
          <w:highlight w:val="none"/>
          <w:lang w:eastAsia="zh-CN"/>
        </w:rPr>
        <w:t>保险水产</w:t>
      </w:r>
      <w:r>
        <w:rPr>
          <w:rFonts w:hint="eastAsia" w:ascii="仿宋_GB2312" w:hAnsi="仿宋_GB2312" w:eastAsia="仿宋_GB2312" w:cs="仿宋_GB2312"/>
          <w:color w:val="auto"/>
          <w:spacing w:val="6"/>
          <w:sz w:val="32"/>
          <w:szCs w:val="32"/>
          <w:highlight w:val="none"/>
        </w:rPr>
        <w:t>发生保险责任范围内的损失，保险人按以下</w:t>
      </w:r>
      <w:r>
        <w:rPr>
          <w:rFonts w:hint="eastAsia" w:ascii="仿宋_GB2312" w:hAnsi="仿宋_GB2312" w:eastAsia="仿宋_GB2312" w:cs="仿宋_GB2312"/>
          <w:color w:val="auto"/>
          <w:sz w:val="32"/>
          <w:szCs w:val="32"/>
          <w:highlight w:val="none"/>
        </w:rPr>
        <w:t>方式计算赔偿：</w:t>
      </w:r>
    </w:p>
    <w:p>
      <w:pPr>
        <w:pStyle w:val="2"/>
        <w:keepNext w:val="0"/>
        <w:keepLines w:val="0"/>
        <w:pageBreakBefore w:val="0"/>
        <w:kinsoku/>
        <w:overflowPunct/>
        <w:topLinePunct w:val="0"/>
        <w:autoSpaceDE/>
        <w:autoSpaceDN/>
        <w:bidi w:val="0"/>
        <w:adjustRightInd w:val="0"/>
        <w:snapToGrid w:val="0"/>
        <w:spacing w:before="0" w:after="0" w:line="560" w:lineRule="exact"/>
        <w:ind w:left="0" w:leftChars="0" w:firstLine="616"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赔偿金额＝单位赔偿金额×保险份数</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left"/>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起赔标准为台风影响期内约定气象观测站的日极大风速对应的风力等级达到或超过11级</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left"/>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2.采用约定气象观测站中触发赔付金额最高且数据正常的气象观测站数据作为理赔依据。</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left"/>
        <w:rPr>
          <w:rFonts w:hint="eastAsia" w:ascii="仿宋_GB2312" w:eastAsia="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3.根据</w:t>
      </w:r>
      <w:r>
        <w:rPr>
          <w:rFonts w:hint="eastAsia" w:ascii="仿宋_GB2312" w:hAnsi="仿宋_GB2312" w:eastAsia="仿宋_GB2312" w:cs="仿宋_GB2312"/>
          <w:b w:val="0"/>
          <w:bCs/>
          <w:color w:val="auto"/>
          <w:sz w:val="32"/>
          <w:szCs w:val="32"/>
          <w:highlight w:val="none"/>
        </w:rPr>
        <w:t>日极大风速对应的</w:t>
      </w:r>
      <w:r>
        <w:rPr>
          <w:rFonts w:hint="eastAsia" w:ascii="仿宋_GB2312" w:hAnsi="仿宋_GB2312" w:eastAsia="仿宋_GB2312" w:cs="仿宋_GB2312"/>
          <w:b w:val="0"/>
          <w:bCs/>
          <w:color w:val="auto"/>
          <w:sz w:val="32"/>
          <w:szCs w:val="32"/>
          <w:highlight w:val="none"/>
          <w:lang w:val="en-US" w:eastAsia="zh-CN"/>
        </w:rPr>
        <w:t>风力等级确定单位赔偿金额。</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.保险期间内，发生一次或多次事故的，赔偿金额根据保险期间内最大的一次事故所对应的赔偿标准进行赔付</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保险期间内，首次保险事故赔付后，如果再遭遇更严重的事故，后续赔偿金额为最大一次事故对应的赔偿金额扣减之前累计赔偿金额的差额。</w:t>
      </w:r>
    </w:p>
    <w:p>
      <w:r>
        <w:rPr>
          <w:rFonts w:hint="eastAsia" w:ascii="仿宋_GB2312" w:hAnsi="仿宋_GB2312" w:eastAsia="仿宋_GB2312" w:cs="仿宋_GB2312"/>
          <w:b w:val="0"/>
          <w:bCs/>
          <w:color w:val="auto"/>
          <w:sz w:val="32"/>
          <w:szCs w:val="32"/>
          <w:highlight w:val="none"/>
        </w:rPr>
        <w:t>5.保险期间内赔偿金额以保险合同载明的保险金额为限，总赔偿金额达到保险金额时，保险责任终止。</w:t>
      </w:r>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4070B"/>
    <w:multiLevelType w:val="singleLevel"/>
    <w:tmpl w:val="087407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50B46"/>
    <w:rsid w:val="25350B46"/>
    <w:rsid w:val="2D87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after="120" w:afterLines="0"/>
    </w:pPr>
    <w:rPr>
      <w:rFonts w:hint="eastAsia"/>
      <w:sz w:val="21"/>
      <w:szCs w:val="24"/>
    </w:rPr>
  </w:style>
  <w:style w:type="paragraph" w:styleId="3">
    <w:name w:val="Body Text Indent"/>
    <w:basedOn w:val="1"/>
    <w:unhideWhenUsed/>
    <w:qFormat/>
    <w:uiPriority w:val="0"/>
    <w:pPr>
      <w:spacing w:after="120"/>
      <w:ind w:left="420" w:leftChars="200"/>
    </w:pPr>
  </w:style>
  <w:style w:type="paragraph" w:styleId="4">
    <w:name w:val="Body Text First Indent 2"/>
    <w:basedOn w:val="3"/>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2026-01-13T08:39:00Z</dcterms:created>
  <dc:creator>傅锦祥。</dc:creator>
  <cp:lastModifiedBy>傅锦祥。</cp:lastModifiedBy>
  <dcterms:modified xsi:type="dcterms:W3CDTF">2026-01-13T08:40:26Z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EA4F7BC8C6FA4F249FD2D48615866304</vt:lpwstr>
  </property>
</Properties>
</file>