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overflowPunct/>
        <w:topLinePunct w:val="0"/>
        <w:autoSpaceDE/>
        <w:autoSpaceDN/>
        <w:bidi w:val="0"/>
        <w:adjustRightInd w:val="0"/>
        <w:snapToGrid w:val="0"/>
        <w:spacing w:line="590" w:lineRule="exact"/>
        <w:rPr>
          <w:rFonts w:hint="eastAsia" w:ascii="黑体" w:hAnsi="黑体" w:eastAsia="黑体" w:cs="黑体"/>
          <w:color w:val="auto"/>
          <w:sz w:val="31"/>
          <w:szCs w:val="31"/>
          <w:lang w:val="en-US" w:eastAsia="zh-CN"/>
        </w:rPr>
      </w:pPr>
      <w:r>
        <w:rPr>
          <w:rFonts w:hint="eastAsia" w:ascii="黑体" w:hAnsi="黑体" w:eastAsia="黑体" w:cs="黑体"/>
          <w:color w:val="auto"/>
          <w:sz w:val="31"/>
          <w:szCs w:val="31"/>
          <w:lang w:val="en-US" w:eastAsia="zh-CN"/>
        </w:rPr>
        <w:t>附件5</w:t>
      </w:r>
    </w:p>
    <w:p>
      <w:pPr>
        <w:keepNext w:val="0"/>
        <w:keepLines w:val="0"/>
        <w:pageBreakBefore w:val="0"/>
        <w:kinsoku/>
        <w:overflowPunct/>
        <w:topLinePunct w:val="0"/>
        <w:autoSpaceDE/>
        <w:autoSpaceDN/>
        <w:bidi w:val="0"/>
        <w:adjustRightInd w:val="0"/>
        <w:snapToGrid w:val="0"/>
        <w:spacing w:line="590" w:lineRule="exact"/>
        <w:ind w:left="0" w:leftChars="0"/>
        <w:jc w:val="center"/>
        <w:rPr>
          <w:rFonts w:hint="eastAsia" w:ascii="方正小标宋简体" w:hAnsi="Calibri" w:eastAsia="方正小标宋简体" w:cs="Times New Roman"/>
          <w:bCs/>
          <w:color w:val="auto"/>
          <w:spacing w:val="0"/>
          <w:kern w:val="2"/>
          <w:sz w:val="44"/>
          <w:szCs w:val="44"/>
          <w:highlight w:val="none"/>
          <w:lang w:val="en-US" w:eastAsia="zh-CN" w:bidi="ar-SA"/>
        </w:rPr>
      </w:pPr>
    </w:p>
    <w:p>
      <w:pPr>
        <w:keepNext w:val="0"/>
        <w:keepLines w:val="0"/>
        <w:pageBreakBefore w:val="0"/>
        <w:kinsoku/>
        <w:overflowPunct/>
        <w:topLinePunct w:val="0"/>
        <w:autoSpaceDE/>
        <w:autoSpaceDN/>
        <w:bidi w:val="0"/>
        <w:adjustRightInd w:val="0"/>
        <w:snapToGrid w:val="0"/>
        <w:spacing w:line="590" w:lineRule="exact"/>
        <w:ind w:left="0" w:leftChars="0"/>
        <w:jc w:val="center"/>
        <w:rPr>
          <w:rFonts w:hint="eastAsia" w:ascii="方正小标宋简体" w:hAnsi="Calibri" w:eastAsia="方正小标宋简体" w:cs="Times New Roman"/>
          <w:bCs/>
          <w:color w:val="auto"/>
          <w:spacing w:val="0"/>
          <w:kern w:val="2"/>
          <w:sz w:val="44"/>
          <w:szCs w:val="44"/>
          <w:highlight w:val="none"/>
          <w:lang w:val="en-US" w:eastAsia="zh-CN" w:bidi="ar-SA"/>
        </w:rPr>
      </w:pPr>
      <w:bookmarkStart w:id="0" w:name="_GoBack"/>
      <w:r>
        <w:rPr>
          <w:rFonts w:hint="eastAsia" w:ascii="方正小标宋简体" w:hAnsi="Calibri" w:eastAsia="方正小标宋简体" w:cs="Times New Roman"/>
          <w:bCs/>
          <w:color w:val="auto"/>
          <w:spacing w:val="0"/>
          <w:kern w:val="2"/>
          <w:sz w:val="44"/>
          <w:szCs w:val="44"/>
          <w:highlight w:val="none"/>
          <w:lang w:val="en-US" w:eastAsia="zh-CN" w:bidi="ar-SA"/>
        </w:rPr>
        <w:t>远洋渔船保险实施方案</w:t>
      </w:r>
      <w:bookmarkEnd w:id="0"/>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一、保险标的</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6"/>
          <w:kern w:val="0"/>
          <w:sz w:val="32"/>
          <w:szCs w:val="22"/>
          <w:highlight w:val="none"/>
          <w:lang w:val="en-US" w:eastAsia="zh-CN"/>
        </w:rPr>
        <w:t>全省沿海各县（市、区）取得合法证书或列入国家远洋渔业项目的远洋渔业船舶</w:t>
      </w:r>
      <w:r>
        <w:rPr>
          <w:rFonts w:hint="eastAsia" w:ascii="仿宋_GB2312" w:hAnsi="仿宋_GB2312" w:eastAsia="仿宋_GB2312" w:cs="仿宋_GB2312"/>
          <w:color w:val="auto"/>
          <w:spacing w:val="-9"/>
          <w:kern w:val="2"/>
          <w:sz w:val="32"/>
          <w:szCs w:val="20"/>
          <w:highlight w:val="none"/>
          <w:lang w:val="en-US" w:eastAsia="zh-CN"/>
        </w:rPr>
        <w:t>。保险标的是指投保的远洋渔业船舶（以下称“保险船舶”）的船体及检验证书上载明的机器、设备和仪器。</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子船或未在检验证书上载明的机器、设备和仪器非经保险人同意承保并在保险单上载明之外，不在保险标的范围内。保险船舶的渔网、渔具及其附属设备、船上所装载的货物、燃料、零星工具、用具、备用机件、渔获物、给养品、渔需物资以及船上人员的私人财物不在本保险承保范围之内。</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本保险分全损险责任和一切险责任。</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二、投保方式及保险期限</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（一）尊重渔民参保意愿，采取多种形式组织渔民参保。</w:t>
      </w:r>
    </w:p>
    <w:p>
      <w:pPr>
        <w:keepNext w:val="0"/>
        <w:keepLines w:val="0"/>
        <w:pageBreakBefore w:val="0"/>
        <w:kinsoku/>
        <w:overflowPunct/>
        <w:topLinePunct w:val="0"/>
        <w:autoSpaceDE/>
        <w:autoSpaceDN/>
        <w:bidi w:val="0"/>
        <w:adjustRightInd w:val="0"/>
        <w:snapToGrid w:val="0"/>
        <w:spacing w:line="560" w:lineRule="exact"/>
        <w:ind w:left="0" w:leftChars="0" w:firstLine="645" w:firstLineChars="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（二）保险期限。除另有约定外，保险期间为一年，以保险单载明</w:t>
      </w:r>
      <w:r>
        <w:rPr>
          <w:rFonts w:hint="eastAsia" w:ascii="仿宋_GB2312" w:hAnsi="仿宋_GB2312" w:eastAsia="仿宋_GB2312" w:cs="仿宋_GB2312"/>
          <w:color w:val="auto"/>
          <w:spacing w:val="-6"/>
          <w:kern w:val="0"/>
          <w:sz w:val="32"/>
          <w:szCs w:val="22"/>
          <w:highlight w:val="none"/>
          <w:lang w:val="en-US" w:eastAsia="zh-CN"/>
        </w:rPr>
        <w:t>的起讫时间为准。</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三、保险责任</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全损险责任：在保险期间内，保险船舶由于下列原因造成保险船舶全损（包括实际全损和推定全损）的，保险人按保险合同约定赔偿：1.风灾、洪水、地震、火山爆发、海啸、雷击、崖崩、滑坡、泥石流、冰凌或其他自然灾害；2.碰撞、触碰、搁浅、触礁或其他意外事故；3.火灾或爆炸； 4.由于上述（1）至（3）项灾害或事故导致的倾覆、沉没；5.来自船外的暴力盗窃或海盗行为；6.抛弃货物；7.航行或生产过程中船舶失踪六个月以上；8.船长、轮机长等职务船员的疏忽行为；9.装卸或移动货物或燃料时发生的意外事故；10.任何政府当局为防止或减轻因承保风险造成保险船舶损坏引起的污染所采取的行动；但本条第（8）、（9）、（10）款所列损失原因应不是由于被保险人、船东、经营人未恪尽职责所致。</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（二）一切险责任：本保险合同的一切险，是指由本方案第三条（一）列明的原因造成保险船舶的全损或部分损失，以及下列责任和费用，保险人负责按本保险合同约定给予赔偿：</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1.碰撞责任</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保险船舶与其他船舶碰撞或触碰任何固定的、浮动的物体或其他物体而引起被保险人应负的赔偿责任。</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2.共同海损和救助</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依照国家有关法律或规定应当由保险船舶分摊的共同海损，以及发生保险事故时，为防止损失扩大而采取必要的、合理的救助措施所产生的应由保险船舶分摊的救助费用。</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3.施救</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发生保险事故时，为防止损失扩大而采取必要的、合理的施救措施所产生的应由保险船舶分摊的施救费用。</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本条项下保险人的责任是本保险合同其他条款项下责任的增加部分，但对每次事故所产生施救费用的最高赔偿金额以保险船舶保险金额为限。</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lang w:val="en-US" w:eastAsia="zh-CN"/>
        </w:rPr>
        <w:t>四、</w:t>
      </w:r>
      <w:r>
        <w:rPr>
          <w:rFonts w:hint="eastAsia" w:ascii="黑体" w:hAnsi="黑体" w:eastAsia="黑体" w:cs="黑体"/>
          <w:b w:val="0"/>
          <w:bCs/>
          <w:color w:val="auto"/>
          <w:spacing w:val="-9"/>
          <w:kern w:val="2"/>
          <w:sz w:val="32"/>
          <w:szCs w:val="22"/>
          <w:highlight w:val="none"/>
          <w:lang w:val="en-US" w:eastAsia="zh-CN"/>
        </w:rPr>
        <w:t>责任免除</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b w:val="0"/>
          <w:bCs/>
          <w:color w:val="auto"/>
          <w:spacing w:val="-9"/>
          <w:kern w:val="2"/>
          <w:sz w:val="32"/>
          <w:szCs w:val="22"/>
          <w:highlight w:val="none"/>
          <w:lang w:val="en-US" w:eastAsia="zh-CN"/>
        </w:rPr>
      </w:pPr>
      <w:r>
        <w:rPr>
          <w:rFonts w:hint="eastAsia" w:ascii="仿宋_GB2312" w:hAnsi="仿宋_GB2312" w:eastAsia="仿宋_GB2312" w:cs="仿宋_GB2312"/>
          <w:b w:val="0"/>
          <w:bCs/>
          <w:color w:val="auto"/>
          <w:spacing w:val="-9"/>
          <w:kern w:val="2"/>
          <w:sz w:val="32"/>
          <w:szCs w:val="22"/>
          <w:highlight w:val="none"/>
          <w:lang w:val="en-US" w:eastAsia="zh-CN"/>
        </w:rPr>
        <w:t>（一）下列原因造成的损失、责任和费用，保险人不负责赔偿：保险船舶不适航；保险船舶为拆船或为拆船出售的目的的航行；被保险人或其代表的故意行为、重大过失行为、违法行为、犯罪行为；浪损；战争、内战、革命、叛乱或由此引起的内乱或敌对行为；捕获、扣押、扣留、羁押、没收或封锁；各种战争武器，包括水雷、鱼雷、炸弹、原子弹、氢弹或核武器；罢工、被迫停工或其他类似事件；民变、暴动或其他类似事件；任何人怀有政治动机的恶意行为；保险船舶被征用或被征购；因在船厂维修期间由于船厂或第三人责任导致发生火灾、爆炸等事故造成的损失费用。</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b w:val="0"/>
          <w:bCs/>
          <w:color w:val="auto"/>
          <w:spacing w:val="-9"/>
          <w:kern w:val="2"/>
          <w:sz w:val="32"/>
          <w:szCs w:val="22"/>
          <w:highlight w:val="none"/>
          <w:lang w:val="en-US" w:eastAsia="zh-CN"/>
        </w:rPr>
      </w:pPr>
      <w:r>
        <w:rPr>
          <w:rFonts w:hint="eastAsia" w:ascii="仿宋_GB2312" w:hAnsi="仿宋_GB2312" w:eastAsia="仿宋_GB2312" w:cs="仿宋_GB2312"/>
          <w:b w:val="0"/>
          <w:bCs/>
          <w:color w:val="auto"/>
          <w:spacing w:val="-9"/>
          <w:kern w:val="2"/>
          <w:sz w:val="32"/>
          <w:szCs w:val="22"/>
          <w:highlight w:val="none"/>
          <w:lang w:val="en-US" w:eastAsia="zh-CN"/>
        </w:rPr>
        <w:t>（二）下列损失、责任和费用，保险人不负责赔偿：保险船舶的正常维修、保养费用，自然磨损、易耗易损部位部件的正常损耗、锈蚀、油漆剥落，以及材料缺陷，包括不良状态部件的更换或修理；清理航道、污染，清除障碍物、残骸、货物及任何其他物品，或防止污染而支付的费用；任何间接损失；罚款、罚金；免赔额及不足额投保时被保险人的自担比例。</w:t>
      </w:r>
    </w:p>
    <w:p>
      <w:pPr>
        <w:keepNext w:val="0"/>
        <w:keepLines w:val="0"/>
        <w:pageBreakBefore w:val="0"/>
        <w:numPr>
          <w:ilvl w:val="0"/>
          <w:numId w:val="0"/>
        </w:numPr>
        <w:kinsoku/>
        <w:overflowPunct/>
        <w:topLinePunct w:val="0"/>
        <w:autoSpaceDE/>
        <w:autoSpaceDN/>
        <w:bidi w:val="0"/>
        <w:adjustRightInd w:val="0"/>
        <w:snapToGrid w:val="0"/>
        <w:spacing w:line="560" w:lineRule="exact"/>
        <w:ind w:left="0" w:leftChars="0" w:firstLine="604" w:firstLineChars="200"/>
        <w:rPr>
          <w:rFonts w:hint="eastAsia" w:ascii="仿宋_GB2312" w:hAnsi="仿宋_GB2312" w:eastAsia="仿宋_GB2312" w:cs="仿宋_GB2312"/>
          <w:b w:val="0"/>
          <w:bCs/>
          <w:color w:val="auto"/>
          <w:spacing w:val="-9"/>
          <w:kern w:val="2"/>
          <w:sz w:val="32"/>
          <w:szCs w:val="22"/>
          <w:highlight w:val="none"/>
          <w:lang w:val="en-US" w:eastAsia="zh-CN"/>
        </w:rPr>
      </w:pPr>
      <w:r>
        <w:rPr>
          <w:rFonts w:hint="eastAsia" w:ascii="仿宋_GB2312" w:hAnsi="仿宋_GB2312" w:eastAsia="仿宋_GB2312" w:cs="仿宋_GB2312"/>
          <w:b w:val="0"/>
          <w:bCs/>
          <w:color w:val="auto"/>
          <w:spacing w:val="-9"/>
          <w:kern w:val="2"/>
          <w:sz w:val="32"/>
          <w:szCs w:val="22"/>
          <w:highlight w:val="none"/>
          <w:lang w:val="en-US" w:eastAsia="zh-CN"/>
        </w:rPr>
        <w:t>（三）其他不属于保险责任范围的损失、费用和责任，保险人不负责赔偿</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五、保险金额、保险费率及保费财政补贴</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ascii="仿宋_GB2312" w:hAnsi="Times New Roman"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b w:val="0"/>
          <w:bCs w:val="0"/>
          <w:color w:val="auto"/>
          <w:spacing w:val="-9"/>
          <w:kern w:val="2"/>
          <w:sz w:val="32"/>
          <w:szCs w:val="20"/>
          <w:highlight w:val="none"/>
          <w:lang w:val="en-US" w:eastAsia="zh-CN"/>
        </w:rPr>
        <w:t>（一）</w:t>
      </w:r>
      <w:r>
        <w:rPr>
          <w:rFonts w:hint="eastAsia" w:ascii="仿宋_GB2312" w:hAnsi="Times New Roman" w:eastAsia="仿宋_GB2312" w:cs="Times New Roman"/>
          <w:b w:val="0"/>
          <w:bCs w:val="0"/>
          <w:color w:val="auto"/>
          <w:spacing w:val="-9"/>
          <w:kern w:val="2"/>
          <w:sz w:val="32"/>
          <w:szCs w:val="20"/>
          <w:highlight w:val="none"/>
          <w:lang w:val="en-US" w:eastAsia="zh-CN"/>
        </w:rPr>
        <w:t>保险金额：</w:t>
      </w:r>
      <w:r>
        <w:rPr>
          <w:rFonts w:hint="default" w:ascii="仿宋_GB2312" w:hAnsi="仿宋_GB2312" w:eastAsia="仿宋_GB2312" w:cs="仿宋_GB2312"/>
          <w:b w:val="0"/>
          <w:color w:val="auto"/>
          <w:spacing w:val="-9"/>
          <w:kern w:val="2"/>
          <w:sz w:val="32"/>
          <w:szCs w:val="20"/>
          <w:highlight w:val="none"/>
          <w:lang w:val="en-US" w:eastAsia="zh-CN"/>
        </w:rPr>
        <w:t>保险价值按照投保时保险船舶的实际价值确定。保险金额由投保人和保险人在保险价值范围内协商确定。保险金额不得超过保险价值。超过保险价值的，超过部分无效。保险金额占保险价值的比例称为保险比例。</w:t>
      </w:r>
    </w:p>
    <w:p>
      <w:pPr>
        <w:keepNext w:val="0"/>
        <w:keepLines w:val="0"/>
        <w:pageBreakBefore w:val="0"/>
        <w:kinsoku/>
        <w:overflowPunct/>
        <w:topLinePunct w:val="0"/>
        <w:autoSpaceDE/>
        <w:autoSpaceDN/>
        <w:bidi w:val="0"/>
        <w:adjustRightInd w:val="0"/>
        <w:snapToGrid w:val="0"/>
        <w:spacing w:line="560" w:lineRule="exact"/>
        <w:ind w:left="0" w:leftChars="0"/>
        <w:rPr>
          <w:rFonts w:hint="eastAsia" w:ascii="仿宋_GB2312" w:hAnsi="仿宋_GB2312" w:eastAsia="仿宋_GB2312" w:cs="仿宋_GB2312"/>
          <w:b w:val="0"/>
          <w:bCs w:val="0"/>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 xml:space="preserve">  </w:t>
      </w:r>
      <w:r>
        <w:rPr>
          <w:rFonts w:hint="eastAsia" w:ascii="仿宋_GB2312" w:hAnsi="仿宋_GB2312" w:eastAsia="仿宋_GB2312" w:cs="仿宋_GB2312"/>
          <w:b w:val="0"/>
          <w:bCs w:val="0"/>
          <w:color w:val="auto"/>
          <w:spacing w:val="-9"/>
          <w:kern w:val="2"/>
          <w:sz w:val="32"/>
          <w:szCs w:val="20"/>
          <w:highlight w:val="none"/>
          <w:lang w:val="en-US" w:eastAsia="zh-CN"/>
        </w:rPr>
        <w:t xml:space="preserve"> （二）基准费率</w:t>
      </w:r>
    </w:p>
    <w:p>
      <w:pPr>
        <w:keepNext w:val="0"/>
        <w:keepLines w:val="0"/>
        <w:pageBreakBefore w:val="0"/>
        <w:kinsoku/>
        <w:overflowPunct/>
        <w:topLinePunct w:val="0"/>
        <w:autoSpaceDE/>
        <w:autoSpaceDN/>
        <w:bidi w:val="0"/>
        <w:adjustRightInd w:val="0"/>
        <w:snapToGrid w:val="0"/>
        <w:spacing w:line="560" w:lineRule="exact"/>
        <w:ind w:left="0" w:leftChars="0"/>
        <w:rPr>
          <w:rFonts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 xml:space="preserve">    1.全损险责任：钢（铁、玻璃钢）质渔船，船龄5年以下0.66%，5至10年0.84%，10年以上1.0%；木质渔船，船龄5年以下1.0%，5至10年1.11%，10年以上1.23%。</w:t>
      </w:r>
    </w:p>
    <w:p>
      <w:pPr>
        <w:keepNext w:val="0"/>
        <w:keepLines w:val="0"/>
        <w:pageBreakBefore w:val="0"/>
        <w:kinsoku/>
        <w:overflowPunct/>
        <w:topLinePunct w:val="0"/>
        <w:autoSpaceDE/>
        <w:autoSpaceDN/>
        <w:bidi w:val="0"/>
        <w:adjustRightInd w:val="0"/>
        <w:snapToGrid w:val="0"/>
        <w:spacing w:line="560" w:lineRule="exact"/>
        <w:ind w:left="0" w:leftChars="0" w:firstLine="58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2.</w:t>
      </w:r>
      <w:r>
        <w:rPr>
          <w:rFonts w:hint="eastAsia" w:ascii="仿宋_GB2312" w:hAnsi="仿宋_GB2312" w:cs="仿宋_GB2312"/>
          <w:color w:val="auto"/>
          <w:spacing w:val="-9"/>
          <w:kern w:val="2"/>
          <w:sz w:val="32"/>
          <w:szCs w:val="20"/>
          <w:highlight w:val="none"/>
          <w:lang w:val="en-US" w:eastAsia="zh-CN"/>
        </w:rPr>
        <w:t>一切</w:t>
      </w:r>
      <w:r>
        <w:rPr>
          <w:rFonts w:hint="eastAsia" w:ascii="仿宋_GB2312" w:hAnsi="仿宋_GB2312" w:eastAsia="仿宋_GB2312" w:cs="仿宋_GB2312"/>
          <w:color w:val="auto"/>
          <w:spacing w:val="-9"/>
          <w:kern w:val="2"/>
          <w:sz w:val="32"/>
          <w:szCs w:val="20"/>
          <w:highlight w:val="none"/>
          <w:lang w:val="en-US" w:eastAsia="zh-CN"/>
        </w:rPr>
        <w:t>险责任：钢（铁、玻璃钢）质渔船，船龄10年以下1.0%，10至15年1.17%，15年以上1.34%。</w:t>
      </w:r>
    </w:p>
    <w:p>
      <w:pPr>
        <w:keepNext w:val="0"/>
        <w:keepLines w:val="0"/>
        <w:pageBreakBefore w:val="0"/>
        <w:kinsoku/>
        <w:overflowPunct/>
        <w:topLinePunct w:val="0"/>
        <w:autoSpaceDE/>
        <w:autoSpaceDN/>
        <w:bidi w:val="0"/>
        <w:adjustRightInd w:val="0"/>
        <w:snapToGrid w:val="0"/>
        <w:spacing w:line="560" w:lineRule="exact"/>
        <w:ind w:left="0" w:leftChars="0" w:firstLine="58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b w:val="0"/>
          <w:bCs w:val="0"/>
          <w:color w:val="auto"/>
          <w:spacing w:val="-9"/>
          <w:kern w:val="2"/>
          <w:sz w:val="32"/>
          <w:szCs w:val="20"/>
          <w:highlight w:val="none"/>
          <w:lang w:val="en-US" w:eastAsia="zh-CN"/>
        </w:rPr>
        <w:t>（三）保费财政补贴及计算方式：</w:t>
      </w:r>
      <w:r>
        <w:rPr>
          <w:rFonts w:hint="eastAsia" w:ascii="仿宋_GB2312" w:hAnsi="仿宋_GB2312" w:eastAsia="仿宋_GB2312" w:cs="仿宋_GB2312"/>
          <w:color w:val="auto"/>
          <w:spacing w:val="-9"/>
          <w:kern w:val="2"/>
          <w:sz w:val="32"/>
          <w:szCs w:val="20"/>
          <w:highlight w:val="none"/>
          <w:lang w:val="en-US" w:eastAsia="zh-CN"/>
        </w:rPr>
        <w:t>省级财政补贴30%;市、县两级财政补贴10%（由设区市确定比例，有条件的市县可自行提高），渔民承担不高于保费的60%。</w:t>
      </w:r>
      <w:r>
        <w:rPr>
          <w:rFonts w:hint="eastAsia" w:ascii="仿宋_GB2312" w:hAnsi="仿宋" w:eastAsia="仿宋_GB2312" w:cs="Times New Roman"/>
          <w:color w:val="auto"/>
          <w:spacing w:val="-9"/>
          <w:kern w:val="2"/>
          <w:sz w:val="32"/>
          <w:szCs w:val="20"/>
          <w:highlight w:val="none"/>
          <w:lang w:val="en-US" w:eastAsia="zh-CN"/>
        </w:rPr>
        <w:t>各级财政保费补贴标准按照扣除各项承保优惠后计算。</w:t>
      </w:r>
    </w:p>
    <w:p>
      <w:pPr>
        <w:keepNext w:val="0"/>
        <w:keepLines w:val="0"/>
        <w:pageBreakBefore w:val="0"/>
        <w:kinsoku/>
        <w:overflowPunct/>
        <w:topLinePunct w:val="0"/>
        <w:autoSpaceDE/>
        <w:autoSpaceDN/>
        <w:bidi w:val="0"/>
        <w:adjustRightInd w:val="0"/>
        <w:snapToGrid w:val="0"/>
        <w:spacing w:line="560" w:lineRule="exact"/>
        <w:ind w:left="0" w:leftChars="0" w:firstLine="604" w:firstLineChars="200"/>
        <w:rPr>
          <w:rFonts w:hint="default"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六、赔偿标准</w:t>
      </w:r>
    </w:p>
    <w:p>
      <w:pPr>
        <w:keepNext w:val="0"/>
        <w:keepLines w:val="0"/>
        <w:pageBreakBefore w:val="0"/>
        <w:kinsoku/>
        <w:overflowPunct/>
        <w:topLinePunct w:val="0"/>
        <w:autoSpaceDE/>
        <w:autoSpaceDN/>
        <w:bidi w:val="0"/>
        <w:adjustRightInd w:val="0"/>
        <w:snapToGrid w:val="0"/>
        <w:spacing w:line="560" w:lineRule="exact"/>
        <w:ind w:left="0" w:leftChars="0" w:firstLine="568"/>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1.被保险人向保险人申请赔款时，应根据实际情况按要求提交索赔材料。</w:t>
      </w:r>
    </w:p>
    <w:p>
      <w:pPr>
        <w:keepNext w:val="0"/>
        <w:keepLines w:val="0"/>
        <w:pageBreakBefore w:val="0"/>
        <w:kinsoku/>
        <w:overflowPunct/>
        <w:topLinePunct w:val="0"/>
        <w:autoSpaceDE/>
        <w:autoSpaceDN/>
        <w:bidi w:val="0"/>
        <w:adjustRightInd w:val="0"/>
        <w:snapToGrid w:val="0"/>
        <w:spacing w:line="560" w:lineRule="exact"/>
        <w:ind w:left="0" w:leftChars="0" w:firstLine="568"/>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2.保险船舶发生全损，按照保险金额赔偿。保险船舶失踪的，保险人按实际全损赔偿。保险船舶发生部分损失，足额保险的按照实际发生的损失、费用赔偿。不足额保险的按照保险比例计算赔偿。</w:t>
      </w:r>
    </w:p>
    <w:p>
      <w:pPr>
        <w:keepNext w:val="0"/>
        <w:keepLines w:val="0"/>
        <w:pageBreakBefore w:val="0"/>
        <w:kinsoku/>
        <w:overflowPunct/>
        <w:topLinePunct w:val="0"/>
        <w:autoSpaceDE/>
        <w:autoSpaceDN/>
        <w:bidi w:val="0"/>
        <w:adjustRightInd w:val="0"/>
        <w:snapToGrid w:val="0"/>
        <w:spacing w:line="560" w:lineRule="exact"/>
        <w:ind w:left="0" w:leftChars="0" w:firstLine="568"/>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除合同另有约定外，共同海损牺牲和支付的共同海损费用，由受益方按各自共同海损分摊价值的比例分摊。保险人仅负责赔偿被保险人应分摊的部分。</w:t>
      </w:r>
    </w:p>
    <w:p>
      <w:pPr>
        <w:keepNext w:val="0"/>
        <w:keepLines w:val="0"/>
        <w:pageBreakBefore w:val="0"/>
        <w:kinsoku/>
        <w:overflowPunct/>
        <w:topLinePunct w:val="0"/>
        <w:autoSpaceDE/>
        <w:autoSpaceDN/>
        <w:bidi w:val="0"/>
        <w:adjustRightInd w:val="0"/>
        <w:snapToGrid w:val="0"/>
        <w:spacing w:line="560" w:lineRule="exact"/>
        <w:ind w:left="0" w:leftChars="0" w:firstLine="568"/>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救助行为同时针对保险船舶和未保险财产的，保险人仅负责赔偿获救保险船舶的保险金额与获救未保险货物价值、运费的比例分摊部分。</w:t>
      </w:r>
    </w:p>
    <w:p>
      <w:pPr>
        <w:keepNext w:val="0"/>
        <w:keepLines w:val="0"/>
        <w:pageBreakBefore w:val="0"/>
        <w:kinsoku/>
        <w:overflowPunct/>
        <w:topLinePunct w:val="0"/>
        <w:autoSpaceDE/>
        <w:autoSpaceDN/>
        <w:bidi w:val="0"/>
        <w:adjustRightInd w:val="0"/>
        <w:snapToGrid w:val="0"/>
        <w:spacing w:line="560" w:lineRule="exact"/>
        <w:ind w:left="0" w:leftChars="0" w:firstLine="568"/>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3.施救费用的赔偿责任是在本保险其他条款约定的保险人赔偿责任以外，但累计以保险单约定的保险金额为限负责赔偿。</w:t>
      </w:r>
    </w:p>
    <w:p>
      <w:pPr>
        <w:keepNext w:val="0"/>
        <w:keepLines w:val="0"/>
        <w:pageBreakBefore w:val="0"/>
        <w:kinsoku/>
        <w:overflowPunct/>
        <w:topLinePunct w:val="0"/>
        <w:autoSpaceDE/>
        <w:autoSpaceDN/>
        <w:bidi w:val="0"/>
        <w:adjustRightInd w:val="0"/>
        <w:snapToGrid w:val="0"/>
        <w:spacing w:line="560" w:lineRule="exact"/>
        <w:ind w:left="0" w:leftChars="0" w:firstLine="568"/>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4.保险人对保险船舶失踪进行赔偿后，被保险人重新获得该船的，被保险人应于重新获得该船的30日内退还赔款。</w:t>
      </w:r>
    </w:p>
    <w:p>
      <w:pPr>
        <w:keepNext w:val="0"/>
        <w:keepLines w:val="0"/>
        <w:pageBreakBefore w:val="0"/>
        <w:kinsoku/>
        <w:overflowPunct/>
        <w:topLinePunct w:val="0"/>
        <w:autoSpaceDE/>
        <w:autoSpaceDN/>
        <w:bidi w:val="0"/>
        <w:adjustRightInd w:val="0"/>
        <w:snapToGrid w:val="0"/>
        <w:spacing w:line="560" w:lineRule="exact"/>
        <w:ind w:left="0" w:leftChars="0" w:firstLine="568"/>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5.发生保险责任范围内的损失，每次事故损失金额未达到保险合同约定的免赔额的，保险人不承担赔偿责任；每次事故损失金额达到或超过保险合同约定的免赔额，保险人按照实际损失情况计算赔偿。</w:t>
      </w:r>
    </w:p>
    <w:p>
      <w:pPr>
        <w:keepNext w:val="0"/>
        <w:keepLines w:val="0"/>
        <w:pageBreakBefore w:val="0"/>
        <w:kinsoku/>
        <w:overflowPunct/>
        <w:topLinePunct w:val="0"/>
        <w:autoSpaceDE/>
        <w:autoSpaceDN/>
        <w:bidi w:val="0"/>
        <w:adjustRightInd w:val="0"/>
        <w:snapToGrid w:val="0"/>
        <w:spacing w:line="560" w:lineRule="exact"/>
        <w:ind w:left="0" w:leftChars="0" w:firstLine="568"/>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6.保险期间内，保险船舶损失、碰撞责任、施救救助费用其中一项的累计赔款金额达到保险金额全数时，本保险合同的保险责任即行终止。</w:t>
      </w:r>
    </w:p>
    <w:p/>
    <w:sectPr>
      <w:pgSz w:w="11906" w:h="16838"/>
      <w:pgMar w:top="2154" w:right="1531" w:bottom="198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A238D"/>
    <w:rsid w:val="2D873055"/>
    <w:rsid w:val="551A2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pPr>
      <w:spacing w:beforeLines="0" w:afterLines="0"/>
    </w:pPr>
    <w:rPr>
      <w:rFonts w:hint="default"/>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2026-01-13T08:38:00Z</dcterms:created>
  <dc:creator>傅锦祥。</dc:creator>
  <cp:lastModifiedBy>傅锦祥。</cp:lastModifiedBy>
  <dcterms:modified xsi:type="dcterms:W3CDTF">2026-01-13T08:39:10Z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C983DB18C1ED479090E49F41172D7E70</vt:lpwstr>
  </property>
</Properties>
</file>