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黑体_GBK" w:hAnsi="方正黑体_GBK" w:eastAsia="方正黑体_GBK" w:cs="方正黑体_GBK"/>
          <w:b w:val="0"/>
          <w:bCs w:val="0"/>
          <w:lang w:val="en-US" w:eastAsia="zh-CN"/>
        </w:rPr>
      </w:pPr>
      <w:r>
        <w:rPr>
          <w:rFonts w:hint="eastAsia" w:ascii="方正黑体_GBK" w:hAnsi="方正黑体_GBK" w:eastAsia="方正黑体_GBK" w:cs="方正黑体_GBK"/>
          <w:b w:val="0"/>
          <w:bCs w:val="0"/>
          <w:lang w:val="en" w:eastAsia="zh-CN"/>
        </w:rPr>
        <w:t>附件</w:t>
      </w:r>
      <w:r>
        <w:rPr>
          <w:rFonts w:hint="eastAsia" w:ascii="方正黑体_GBK" w:hAnsi="方正黑体_GBK" w:eastAsia="方正黑体_GBK" w:cs="方正黑体_GBK"/>
          <w:b w:val="0"/>
          <w:bCs w:val="0"/>
          <w:lang w:val="en-US" w:eastAsia="zh-CN"/>
        </w:rPr>
        <w:t>6</w:t>
      </w:r>
    </w:p>
    <w:p>
      <w:pPr>
        <w:adjustRightInd w:val="0"/>
        <w:snapToGrid w:val="0"/>
        <w:jc w:val="center"/>
        <w:rPr>
          <w:rFonts w:hint="eastAsia" w:ascii="方正小标宋简体" w:hAnsi="方正小标宋简体" w:eastAsia="方正小标宋简体" w:cs="方正小标宋简体"/>
          <w:sz w:val="44"/>
          <w:szCs w:val="44"/>
          <w:lang w:val="en-US" w:eastAsia="zh-CN"/>
        </w:rPr>
      </w:pPr>
    </w:p>
    <w:p>
      <w:pPr>
        <w:adjustRightInd w:val="0"/>
        <w:snapToGrid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国家级沿海渔港经济区项目需求申报指南</w:t>
      </w:r>
    </w:p>
    <w:p>
      <w:pPr>
        <w:pStyle w:val="6"/>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left"/>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一、申报对象</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cs="仿宋_GB2312"/>
          <w:color w:val="auto"/>
          <w:sz w:val="32"/>
          <w:szCs w:val="32"/>
          <w:lang w:eastAsia="zh-CN"/>
        </w:rPr>
        <w:t>项目原则上在县级（市、区）范围内实施，由</w:t>
      </w:r>
      <w:r>
        <w:rPr>
          <w:rFonts w:hint="eastAsia" w:ascii="仿宋_GB2312" w:hAnsi="仿宋_GB2312" w:eastAsia="仿宋_GB2312" w:cs="仿宋_GB2312"/>
          <w:color w:val="auto"/>
          <w:sz w:val="32"/>
          <w:szCs w:val="32"/>
        </w:rPr>
        <w:t>县级人民政府</w:t>
      </w:r>
      <w:r>
        <w:rPr>
          <w:rFonts w:hint="eastAsia" w:ascii="仿宋_GB2312" w:hAnsi="仿宋_GB2312" w:cs="仿宋_GB2312"/>
          <w:color w:val="auto"/>
          <w:sz w:val="32"/>
          <w:szCs w:val="32"/>
          <w:lang w:eastAsia="zh-CN"/>
        </w:rPr>
        <w:t>申报和组织实施。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left"/>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二、补助内容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both"/>
        <w:textAlignment w:val="auto"/>
        <w:rPr>
          <w:rFonts w:hint="eastAsia" w:ascii="仿宋_GB2312" w:hAnsi="仿宋_GB2312" w:cs="仿宋_GB2312"/>
          <w:color w:val="auto"/>
          <w:sz w:val="32"/>
          <w:szCs w:val="32"/>
          <w:lang w:eastAsia="zh-CN"/>
        </w:rPr>
      </w:pPr>
      <w:r>
        <w:rPr>
          <w:rFonts w:hint="eastAsia" w:ascii="仿宋_GB2312" w:hAnsi="仿宋_GB2312" w:eastAsia="仿宋_GB2312" w:cs="仿宋_GB2312"/>
          <w:b w:val="0"/>
          <w:bCs w:val="0"/>
          <w:sz w:val="32"/>
          <w:szCs w:val="32"/>
          <w:lang w:val="en-US" w:eastAsia="zh-CN"/>
        </w:rPr>
        <w:t>试点主要围绕建设智慧渔港、平安渔港、绿色渔港、产业渔港开展。中央财政补奖资金重点用于对渔港相关公益性基础设施进行更新改造和整治维护。</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三、补助标准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央财政对地方开展试点分类分档给予支持（每个试点1.5亿～2亿元）。中央财政补奖资金原则上分年度安排，在批准试点的第一年安排补助资金（每个试点7000万元）。农业农村部、财政部根据中期评估和试点验收情况，采取分类分档方式，确定奖励资金规模。在试点中期评估合格后根据评估结果安排奖励资金（每个试点4000万～6500万元）；在试点通过验收后根据总体验收情况安排第二批奖励资金（每个试点4000万～6500万元）。连续2次中期评估和复核都不合格的，将取消试点资格，并视情扣回前期已拨付的补助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四、申报流程</w:t>
      </w:r>
    </w:p>
    <w:p>
      <w:pPr>
        <w:keepNext w:val="0"/>
        <w:keepLines w:val="0"/>
        <w:pageBreakBefore w:val="0"/>
        <w:kinsoku/>
        <w:wordWrap/>
        <w:overflowPunct/>
        <w:topLinePunct w:val="0"/>
        <w:autoSpaceDE/>
        <w:autoSpaceDN/>
        <w:bidi w:val="0"/>
        <w:adjustRightInd w:val="0"/>
        <w:snapToGrid w:val="0"/>
        <w:spacing w:line="560" w:lineRule="exact"/>
        <w:ind w:firstLine="632" w:firstLineChars="200"/>
        <w:rPr>
          <w:rFonts w:hint="default"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US" w:eastAsia="zh-CN" w:bidi="ar-SA"/>
        </w:rPr>
        <w:t>请</w:t>
      </w:r>
      <w:r>
        <w:rPr>
          <w:rFonts w:hint="eastAsia" w:ascii="仿宋_GB2312" w:hAnsi="仿宋_GB2312" w:cs="仿宋_GB2312"/>
          <w:kern w:val="2"/>
          <w:sz w:val="32"/>
          <w:szCs w:val="32"/>
          <w:lang w:val="en-US" w:eastAsia="zh-CN" w:bidi="ar-SA"/>
        </w:rPr>
        <w:t>各</w:t>
      </w:r>
      <w:r>
        <w:rPr>
          <w:rFonts w:hint="eastAsia" w:ascii="仿宋_GB2312" w:hAnsi="仿宋_GB2312" w:eastAsia="仿宋_GB2312" w:cs="仿宋_GB2312"/>
          <w:kern w:val="2"/>
          <w:sz w:val="32"/>
          <w:szCs w:val="32"/>
          <w:lang w:val="en-US" w:eastAsia="zh-CN" w:bidi="ar-SA"/>
        </w:rPr>
        <w:t>县</w:t>
      </w:r>
      <w:r>
        <w:rPr>
          <w:rFonts w:hint="eastAsia" w:ascii="仿宋_GB2312" w:hAnsi="仿宋_GB2312" w:cs="仿宋_GB2312"/>
          <w:kern w:val="2"/>
          <w:sz w:val="32"/>
          <w:szCs w:val="32"/>
          <w:lang w:val="en-US" w:eastAsia="zh-CN" w:bidi="ar-SA"/>
        </w:rPr>
        <w:t>（市、区）</w:t>
      </w:r>
      <w:r>
        <w:rPr>
          <w:rFonts w:hint="eastAsia" w:ascii="仿宋_GB2312" w:hAnsi="仿宋_GB2312" w:eastAsia="仿宋_GB2312" w:cs="仿宋_GB2312"/>
          <w:kern w:val="2"/>
          <w:sz w:val="32"/>
          <w:szCs w:val="32"/>
          <w:lang w:val="en-US" w:eastAsia="zh-CN" w:bidi="ar-SA"/>
        </w:rPr>
        <w:t>渔业行政主管部门</w:t>
      </w:r>
      <w:r>
        <w:rPr>
          <w:rFonts w:hint="eastAsia" w:ascii="仿宋_GB2312" w:hAnsi="仿宋_GB2312" w:cs="仿宋_GB2312"/>
          <w:kern w:val="2"/>
          <w:sz w:val="32"/>
          <w:szCs w:val="32"/>
          <w:lang w:val="en-US" w:eastAsia="zh-CN" w:bidi="ar-SA"/>
        </w:rPr>
        <w:t>统计辖区内项目需求，</w:t>
      </w:r>
      <w:r>
        <w:rPr>
          <w:rFonts w:hint="eastAsia" w:ascii="仿宋_GB2312" w:hAnsi="仿宋_GB2312" w:eastAsia="仿宋_GB2312" w:cs="仿宋_GB2312"/>
          <w:kern w:val="2"/>
          <w:sz w:val="32"/>
          <w:szCs w:val="32"/>
          <w:lang w:val="en-US" w:eastAsia="zh-CN" w:bidi="ar-SA"/>
        </w:rPr>
        <w:t>上报至各设区市渔业行政主管部门</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平潭综合实验区农业农村局</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由各设区市渔业行政主管部门</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平潭综合实验区农业农村局汇总</w:t>
      </w:r>
      <w:r>
        <w:rPr>
          <w:rFonts w:hint="eastAsia" w:ascii="仿宋_GB2312" w:hAnsi="仿宋_GB2312" w:cs="仿宋_GB2312"/>
          <w:kern w:val="2"/>
          <w:sz w:val="32"/>
          <w:szCs w:val="32"/>
          <w:lang w:val="en-US" w:eastAsia="zh-CN" w:bidi="ar-SA"/>
        </w:rPr>
        <w:t>填报项目预申报表和基本情况表正式</w:t>
      </w:r>
      <w:r>
        <w:rPr>
          <w:rFonts w:hint="eastAsia" w:ascii="仿宋_GB2312" w:hAnsi="仿宋_GB2312" w:eastAsia="仿宋_GB2312" w:cs="仿宋_GB2312"/>
          <w:kern w:val="2"/>
          <w:sz w:val="32"/>
          <w:szCs w:val="32"/>
          <w:lang w:val="en-US" w:eastAsia="zh-CN" w:bidi="ar-SA"/>
        </w:rPr>
        <w:t>上报省海洋与渔业局。</w:t>
      </w:r>
      <w:r>
        <w:rPr>
          <w:rFonts w:hint="eastAsia" w:ascii="仿宋_GB2312" w:hAnsi="仿宋_GB2312" w:cs="仿宋_GB2312"/>
          <w:kern w:val="2"/>
          <w:sz w:val="32"/>
          <w:szCs w:val="32"/>
          <w:lang w:val="en-US" w:eastAsia="zh-CN" w:bidi="ar-SA"/>
        </w:rPr>
        <w:t>其他具体要求按照</w:t>
      </w:r>
      <w:r>
        <w:rPr>
          <w:rFonts w:hint="eastAsia" w:ascii="仿宋_GB2312" w:hAnsi="仿宋_GB2312" w:eastAsia="仿宋_GB2312" w:cs="仿宋_GB2312"/>
          <w:kern w:val="2"/>
          <w:sz w:val="32"/>
          <w:szCs w:val="32"/>
          <w:lang w:val="en-US" w:eastAsia="zh-CN" w:bidi="ar-SA"/>
        </w:rPr>
        <w:t>《农业农村部办公厅</w:t>
      </w:r>
      <w:r>
        <w:rPr>
          <w:rFonts w:hint="eastAsia" w:ascii="仿宋_GB2312" w:hAnsi="仿宋_GB2312" w:cs="仿宋_GB2312"/>
          <w:kern w:val="2"/>
          <w:sz w:val="32"/>
          <w:szCs w:val="32"/>
          <w:lang w:val="en-US" w:eastAsia="zh-CN" w:bidi="ar-SA"/>
        </w:rPr>
        <w:t xml:space="preserve"> 财政部办公厅关于</w:t>
      </w:r>
      <w:r>
        <w:rPr>
          <w:rFonts w:hint="eastAsia" w:ascii="仿宋_GB2312" w:hAnsi="仿宋_GB2312" w:eastAsia="仿宋_GB2312" w:cs="仿宋_GB2312"/>
          <w:kern w:val="2"/>
          <w:sz w:val="32"/>
          <w:szCs w:val="32"/>
          <w:lang w:val="en-US" w:eastAsia="zh-CN" w:bidi="ar-SA"/>
        </w:rPr>
        <w:t>开展</w:t>
      </w:r>
      <w:r>
        <w:rPr>
          <w:rFonts w:hint="eastAsia" w:ascii="仿宋_GB2312" w:hAnsi="仿宋_GB2312" w:cs="仿宋_GB2312"/>
          <w:kern w:val="2"/>
          <w:sz w:val="32"/>
          <w:szCs w:val="32"/>
          <w:lang w:val="en-US" w:eastAsia="zh-CN" w:bidi="ar-SA"/>
        </w:rPr>
        <w:t>国家级沿海渔港经济区建设</w:t>
      </w:r>
      <w:r>
        <w:rPr>
          <w:rFonts w:hint="eastAsia" w:ascii="仿宋_GB2312" w:hAnsi="仿宋_GB2312" w:eastAsia="仿宋_GB2312" w:cs="仿宋_GB2312"/>
          <w:kern w:val="2"/>
          <w:sz w:val="32"/>
          <w:szCs w:val="32"/>
          <w:lang w:val="en-US" w:eastAsia="zh-CN" w:bidi="ar-SA"/>
        </w:rPr>
        <w:t>试点的通知》（农办渔〔202</w:t>
      </w:r>
      <w:r>
        <w:rPr>
          <w:rFonts w:hint="eastAsia" w:ascii="仿宋_GB2312" w:hAnsi="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8</w:t>
      </w:r>
      <w:r>
        <w:rPr>
          <w:rFonts w:hint="eastAsia" w:ascii="仿宋_GB2312" w:hAnsi="仿宋_GB2312" w:eastAsia="仿宋_GB2312" w:cs="仿宋_GB2312"/>
          <w:kern w:val="2"/>
          <w:sz w:val="32"/>
          <w:szCs w:val="32"/>
          <w:lang w:val="en-US" w:eastAsia="zh-CN" w:bidi="ar-SA"/>
        </w:rPr>
        <w:t>号）</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sz w:val="32"/>
          <w:szCs w:val="32"/>
          <w:lang w:eastAsia="zh-CN"/>
        </w:rPr>
        <w:t>《农业农村部渔业渔政管理局关于</w:t>
      </w:r>
      <w:r>
        <w:rPr>
          <w:rFonts w:hint="eastAsia" w:ascii="仿宋_GB2312" w:hAnsi="仿宋_GB2312" w:cs="仿宋_GB2312"/>
          <w:sz w:val="32"/>
          <w:szCs w:val="32"/>
          <w:lang w:eastAsia="zh-CN"/>
        </w:rPr>
        <w:t>开展</w:t>
      </w:r>
      <w:r>
        <w:rPr>
          <w:rFonts w:hint="eastAsia" w:ascii="仿宋_GB2312" w:hAnsi="仿宋_GB2312" w:eastAsia="仿宋_GB2312" w:cs="仿宋_GB2312"/>
          <w:sz w:val="32"/>
          <w:szCs w:val="32"/>
          <w:lang w:eastAsia="zh-CN"/>
        </w:rPr>
        <w:t>2025年</w:t>
      </w:r>
      <w:r>
        <w:rPr>
          <w:rFonts w:hint="eastAsia" w:ascii="仿宋_GB2312" w:hAnsi="仿宋_GB2312" w:cs="仿宋_GB2312"/>
          <w:sz w:val="32"/>
          <w:szCs w:val="32"/>
          <w:lang w:eastAsia="zh-CN"/>
        </w:rPr>
        <w:t>国家级沿海渔港经济区项目摸底工作</w:t>
      </w:r>
      <w:r>
        <w:rPr>
          <w:rFonts w:hint="eastAsia" w:ascii="仿宋_GB2312" w:hAnsi="仿宋_GB2312" w:eastAsia="仿宋_GB2312" w:cs="仿宋_GB2312"/>
          <w:sz w:val="32"/>
          <w:szCs w:val="32"/>
          <w:lang w:eastAsia="zh-CN"/>
        </w:rPr>
        <w:t>的通知》</w:t>
      </w:r>
      <w:r>
        <w:rPr>
          <w:rFonts w:hint="eastAsia" w:ascii="仿宋_GB2312" w:hAnsi="仿宋_GB2312" w:cs="仿宋_GB2312"/>
          <w:sz w:val="32"/>
          <w:szCs w:val="32"/>
          <w:lang w:eastAsia="zh-CN"/>
        </w:rPr>
        <w:t>要求执行。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五、联系方式</w:t>
      </w:r>
    </w:p>
    <w:p>
      <w:pPr>
        <w:keepNext w:val="0"/>
        <w:keepLines w:val="0"/>
        <w:pageBreakBefore w:val="0"/>
        <w:widowControl w:val="0"/>
        <w:kinsoku/>
        <w:wordWrap/>
        <w:autoSpaceDE/>
        <w:autoSpaceDN/>
        <w:snapToGrid w:val="0"/>
        <w:spacing w:before="0" w:beforeLines="0" w:beforeAutospacing="0" w:after="0" w:afterLines="0" w:afterAutospacing="0" w:line="590" w:lineRule="exact"/>
        <w:ind w:right="0" w:firstLine="608" w:firstLineChars="200"/>
        <w:jc w:val="both"/>
        <w:textAlignment w:val="baseline"/>
        <w:outlineLvl w:val="9"/>
        <w:rPr>
          <w:rFonts w:hint="eastAsia" w:ascii="仿宋_GB2312" w:hAnsi="仿宋_GB2312" w:cs="仿宋_GB2312"/>
          <w:spacing w:val="-6"/>
          <w:szCs w:val="20"/>
          <w:lang w:val="en-US" w:eastAsia="zh-CN"/>
        </w:rPr>
      </w:pPr>
      <w:r>
        <w:rPr>
          <w:rFonts w:hint="eastAsia" w:ascii="仿宋_GB2312" w:hAnsi="仿宋_GB2312" w:cs="仿宋_GB2312"/>
          <w:spacing w:val="-6"/>
          <w:szCs w:val="20"/>
          <w:lang w:val="en-US" w:eastAsia="zh-CN"/>
        </w:rPr>
        <w:t>联系人：省海洋与渔业局渔船渔港管理处 陈明炜；</w:t>
      </w:r>
    </w:p>
    <w:p>
      <w:pPr>
        <w:keepNext w:val="0"/>
        <w:keepLines w:val="0"/>
        <w:pageBreakBefore w:val="0"/>
        <w:widowControl w:val="0"/>
        <w:kinsoku/>
        <w:wordWrap/>
        <w:autoSpaceDE/>
        <w:autoSpaceDN/>
        <w:snapToGrid w:val="0"/>
        <w:spacing w:before="0" w:beforeLines="0" w:beforeAutospacing="0" w:after="0" w:afterLines="0" w:afterAutospacing="0" w:line="590" w:lineRule="exact"/>
        <w:ind w:right="0" w:firstLine="608" w:firstLineChars="200"/>
        <w:jc w:val="both"/>
        <w:textAlignment w:val="baseline"/>
        <w:outlineLvl w:val="9"/>
        <w:rPr>
          <w:rFonts w:hint="default" w:ascii="仿宋_GB2312" w:hAnsi="仿宋_GB2312" w:cs="仿宋_GB2312"/>
          <w:spacing w:val="-6"/>
          <w:szCs w:val="20"/>
          <w:lang w:val="en-US" w:eastAsia="zh-CN"/>
        </w:rPr>
      </w:pPr>
      <w:r>
        <w:rPr>
          <w:rFonts w:hint="eastAsia" w:ascii="仿宋_GB2312" w:hAnsi="仿宋_GB2312" w:cs="仿宋_GB2312"/>
          <w:spacing w:val="-6"/>
          <w:szCs w:val="20"/>
          <w:lang w:val="en-US" w:eastAsia="zh-CN"/>
        </w:rPr>
        <w:t>联系电话：0591-87878621。</w:t>
      </w:r>
    </w:p>
    <w:p>
      <w:pPr>
        <w:adjustRightInd w:val="0"/>
        <w:snapToGrid w:val="0"/>
        <w:spacing w:line="560" w:lineRule="exact"/>
        <w:ind w:firstLine="632" w:firstLineChars="200"/>
        <w:rPr>
          <w:rFonts w:hint="eastAsia" w:ascii="仿宋_GB2312" w:hAnsi="仿宋_GB2312" w:cs="仿宋_GB2312"/>
          <w:szCs w:val="32"/>
          <w:lang w:val="en-US" w:eastAsia="zh-CN"/>
        </w:rPr>
      </w:pPr>
    </w:p>
    <w:p>
      <w:pPr>
        <w:adjustRightInd w:val="0"/>
        <w:snapToGrid w:val="0"/>
        <w:spacing w:line="560" w:lineRule="exact"/>
        <w:ind w:firstLine="632" w:firstLineChars="200"/>
        <w:rPr>
          <w:rFonts w:hint="eastAsia" w:ascii="仿宋_GB2312" w:hAnsi="仿宋_GB2312" w:cs="仿宋_GB2312"/>
          <w:szCs w:val="32"/>
          <w:lang w:val="en-US" w:eastAsia="zh-CN"/>
        </w:rPr>
      </w:pPr>
      <w:r>
        <w:rPr>
          <w:rFonts w:hint="eastAsia" w:ascii="仿宋_GB2312" w:hAnsi="仿宋_GB2312" w:cs="仿宋_GB2312"/>
          <w:szCs w:val="32"/>
          <w:lang w:val="en-US" w:eastAsia="zh-CN"/>
        </w:rPr>
        <w:t>附表：6-1.拟申报2025年国家级沿海渔港经济区项目统计</w:t>
      </w:r>
    </w:p>
    <w:p>
      <w:pPr>
        <w:adjustRightInd w:val="0"/>
        <w:snapToGrid w:val="0"/>
        <w:spacing w:line="560" w:lineRule="exact"/>
        <w:ind w:firstLine="2212" w:firstLineChars="700"/>
        <w:rPr>
          <w:rFonts w:hint="eastAsia" w:ascii="仿宋_GB2312" w:hAnsi="仿宋_GB2312" w:cs="仿宋_GB2312"/>
          <w:szCs w:val="32"/>
          <w:lang w:val="en-US" w:eastAsia="zh-CN"/>
        </w:rPr>
      </w:pPr>
      <w:r>
        <w:rPr>
          <w:rFonts w:hint="eastAsia" w:ascii="仿宋_GB2312" w:hAnsi="仿宋_GB2312" w:cs="仿宋_GB2312"/>
          <w:szCs w:val="32"/>
          <w:lang w:val="en-US" w:eastAsia="zh-CN"/>
        </w:rPr>
        <w:t>表</w:t>
      </w:r>
    </w:p>
    <w:p>
      <w:pPr>
        <w:sectPr>
          <w:pgSz w:w="11906" w:h="16838"/>
          <w:pgMar w:top="2098" w:right="1531" w:bottom="1701" w:left="1531" w:header="851" w:footer="992" w:gutter="0"/>
          <w:pgBorders>
            <w:top w:val="none" w:sz="0" w:space="0"/>
            <w:left w:val="none" w:sz="0" w:space="0"/>
            <w:bottom w:val="none" w:sz="0" w:space="0"/>
            <w:right w:val="none" w:sz="0" w:space="0"/>
          </w:pgBorders>
          <w:cols w:space="720" w:num="1"/>
          <w:docGrid w:type="linesAndChars" w:linePitch="590" w:charSpace="-849"/>
        </w:sectPr>
      </w:pPr>
    </w:p>
    <w:p>
      <w:pPr>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附表6-1</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拟申报2025年国家级沿海渔港经济区项目统计表</w:t>
      </w:r>
    </w:p>
    <w:p>
      <w:pPr>
        <w:pStyle w:val="6"/>
        <w:rPr>
          <w:rFonts w:hint="eastAsia"/>
          <w:lang w:val="en-US" w:eastAsia="zh-CN"/>
        </w:rPr>
      </w:pPr>
      <w:r>
        <w:rPr>
          <w:rFonts w:hint="eastAsia" w:ascii="Times New Roman" w:hAnsi="Times New Roman" w:eastAsia="仿宋_GB2312" w:cs="Times New Roman"/>
          <w:sz w:val="24"/>
          <w:szCs w:val="24"/>
          <w:lang w:eastAsia="zh-CN"/>
        </w:rPr>
        <w:t>市、县（市、区）</w:t>
      </w:r>
      <w:r>
        <w:rPr>
          <w:rFonts w:hint="default" w:ascii="Times New Roman" w:hAnsi="Times New Roman" w:eastAsia="仿宋_GB2312" w:cs="Times New Roman"/>
          <w:sz w:val="24"/>
          <w:szCs w:val="24"/>
        </w:rPr>
        <w:t>农业农村（渔业）主管部门（盖章）：</w:t>
      </w:r>
    </w:p>
    <w:tbl>
      <w:tblPr>
        <w:tblStyle w:val="4"/>
        <w:tblW w:w="13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42"/>
        <w:gridCol w:w="2277"/>
        <w:gridCol w:w="1541"/>
        <w:gridCol w:w="2263"/>
        <w:gridCol w:w="2182"/>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序号</w:t>
            </w:r>
          </w:p>
        </w:tc>
        <w:tc>
          <w:tcPr>
            <w:tcW w:w="20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项目名称</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项目范围内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中心渔港名称</w:t>
            </w:r>
          </w:p>
        </w:tc>
        <w:tc>
          <w:tcPr>
            <w:tcW w:w="154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项目是否满足渔港建设基础条件</w:t>
            </w:r>
          </w:p>
        </w:tc>
        <w:tc>
          <w:tcPr>
            <w:tcW w:w="22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项目是否满足渔业产业发展基础条件</w:t>
            </w:r>
          </w:p>
        </w:tc>
        <w:tc>
          <w:tcPr>
            <w:tcW w:w="21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2025年1月15日前，是否可完成项目所有前期工作</w:t>
            </w:r>
          </w:p>
        </w:tc>
        <w:tc>
          <w:tcPr>
            <w:tcW w:w="22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除中央财政资金外，其他渠道预计可投入项目资金（亿元）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79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p>
        </w:tc>
        <w:tc>
          <w:tcPr>
            <w:tcW w:w="204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p>
        </w:tc>
        <w:tc>
          <w:tcPr>
            <w:tcW w:w="227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p>
        </w:tc>
        <w:tc>
          <w:tcPr>
            <w:tcW w:w="154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22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21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22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79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p>
        </w:tc>
        <w:tc>
          <w:tcPr>
            <w:tcW w:w="204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p>
        </w:tc>
        <w:tc>
          <w:tcPr>
            <w:tcW w:w="227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p>
        </w:tc>
        <w:tc>
          <w:tcPr>
            <w:tcW w:w="154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p>
        </w:tc>
        <w:tc>
          <w:tcPr>
            <w:tcW w:w="226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p>
        </w:tc>
        <w:tc>
          <w:tcPr>
            <w:tcW w:w="218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p>
        </w:tc>
        <w:tc>
          <w:tcPr>
            <w:tcW w:w="227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p>
        </w:tc>
      </w:tr>
    </w:tbl>
    <w:p>
      <w:pPr>
        <w:pStyle w:val="6"/>
        <w:rPr>
          <w:rFonts w:hint="default"/>
          <w:lang w:val="en-US" w:eastAsia="zh-CN"/>
        </w:rPr>
      </w:pPr>
    </w:p>
    <w:p>
      <w:pPr>
        <w:pStyle w:val="2"/>
      </w:pPr>
    </w:p>
    <w:p>
      <w:bookmarkStart w:id="0" w:name="_GoBack"/>
      <w:bookmarkEnd w:id="0"/>
    </w:p>
    <w:sectPr>
      <w:pgSz w:w="16838" w:h="11906" w:orient="landscape"/>
      <w:pgMar w:top="1531" w:right="2098" w:bottom="1531" w:left="1701" w:header="851" w:footer="992" w:gutter="0"/>
      <w:pgBorders>
        <w:top w:val="none" w:sz="0" w:space="0"/>
        <w:left w:val="none" w:sz="0" w:space="0"/>
        <w:bottom w:val="none" w:sz="0" w:space="0"/>
        <w:right w:val="none" w:sz="0" w:space="0"/>
      </w:pgBorders>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B305E7"/>
    <w:rsid w:val="39EFA5FE"/>
    <w:rsid w:val="EBB305E7"/>
    <w:rsid w:val="FB5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宋体"/>
      <w:b/>
      <w:kern w:val="44"/>
      <w:sz w:val="48"/>
      <w:szCs w:val="48"/>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Acetate"/>
    <w:basedOn w:val="1"/>
    <w:next w:val="1"/>
    <w:qFormat/>
    <w:uiPriority w:val="0"/>
    <w:pPr>
      <w:widowControl/>
      <w:textAlignment w:val="baseline"/>
    </w:pPr>
    <w:rPr>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2024-09-14T17:30:00Z</dcterms:created>
  <dc:creator>张天闻</dc:creator>
  <cp:lastModifiedBy>张天闻</cp:lastModifiedBy>
  <dcterms:modified xsi:type="dcterms:W3CDTF">2024-09-14T17:31:15Z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