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黑体" w:hAnsi="黑体" w:eastAsia="黑体" w:cs="黑体"/>
          <w:b/>
          <w:bCs/>
          <w:color w:val="000000"/>
          <w:sz w:val="36"/>
          <w:szCs w:val="36"/>
          <w:lang w:eastAsia="zh-CN"/>
        </w:rPr>
      </w:pPr>
      <w:r>
        <w:rPr>
          <w:rFonts w:hint="eastAsia" w:ascii="黑体" w:hAnsi="黑体" w:eastAsia="黑体" w:cs="黑体"/>
          <w:b/>
          <w:bCs/>
          <w:color w:val="000000"/>
          <w:sz w:val="36"/>
          <w:szCs w:val="36"/>
          <w:lang w:eastAsia="zh-CN"/>
        </w:rPr>
        <w:t>福建省渔港工程施工、施工监理、勘察设计</w:t>
      </w:r>
    </w:p>
    <w:p>
      <w:pPr>
        <w:ind w:firstLine="723" w:firstLineChars="200"/>
        <w:jc w:val="center"/>
        <w:rPr>
          <w:rFonts w:hint="eastAsia" w:ascii="仿宋_GB2312" w:hAnsi="Calibri" w:eastAsia="仿宋_GB2312"/>
          <w:color w:val="000000"/>
          <w:sz w:val="36"/>
          <w:szCs w:val="36"/>
        </w:rPr>
      </w:pPr>
      <w:r>
        <w:rPr>
          <w:rFonts w:hint="eastAsia" w:ascii="黑体" w:hAnsi="黑体" w:eastAsia="黑体" w:cs="黑体"/>
          <w:b/>
          <w:bCs/>
          <w:color w:val="000000"/>
          <w:sz w:val="36"/>
          <w:szCs w:val="36"/>
        </w:rPr>
        <w:t>招标</w:t>
      </w:r>
      <w:r>
        <w:rPr>
          <w:rFonts w:hint="eastAsia" w:ascii="黑体" w:hAnsi="黑体" w:eastAsia="黑体" w:cs="黑体"/>
          <w:b/>
          <w:bCs/>
          <w:color w:val="000000"/>
          <w:sz w:val="36"/>
          <w:szCs w:val="36"/>
          <w:lang w:eastAsia="zh-CN"/>
        </w:rPr>
        <w:t>文件</w:t>
      </w:r>
      <w:r>
        <w:rPr>
          <w:rFonts w:hint="eastAsia" w:ascii="黑体" w:hAnsi="黑体" w:eastAsia="黑体" w:cs="黑体"/>
          <w:b/>
          <w:bCs/>
          <w:color w:val="000000"/>
          <w:sz w:val="36"/>
          <w:szCs w:val="36"/>
        </w:rPr>
        <w:t>示范文本</w:t>
      </w:r>
      <w:r>
        <w:rPr>
          <w:rFonts w:hint="eastAsia" w:ascii="黑体" w:hAnsi="黑体" w:eastAsia="黑体" w:cs="黑体"/>
          <w:b/>
          <w:bCs/>
          <w:color w:val="000000"/>
          <w:sz w:val="36"/>
          <w:szCs w:val="36"/>
          <w:lang w:eastAsia="zh-CN"/>
        </w:rPr>
        <w:t>修订条款说明</w:t>
      </w:r>
    </w:p>
    <w:p>
      <w:pPr>
        <w:ind w:firstLine="643" w:firstLineChars="200"/>
        <w:jc w:val="left"/>
        <w:rPr>
          <w:rFonts w:hint="eastAsia" w:ascii="楷体_GB2312" w:eastAsia="楷体_GB2312"/>
          <w:b/>
          <w:color w:val="000000"/>
          <w:sz w:val="32"/>
          <w:szCs w:val="32"/>
        </w:rPr>
      </w:pPr>
    </w:p>
    <w:p>
      <w:pPr>
        <w:jc w:val="left"/>
        <w:rPr>
          <w:rFonts w:ascii="楷体_GB2312" w:eastAsia="楷体_GB2312"/>
          <w:b/>
          <w:color w:val="000000"/>
          <w:sz w:val="32"/>
          <w:szCs w:val="32"/>
        </w:rPr>
      </w:pPr>
      <w:r>
        <w:rPr>
          <w:rFonts w:hint="eastAsia" w:ascii="楷体_GB2312" w:eastAsia="楷体_GB2312"/>
          <w:b/>
          <w:color w:val="000000"/>
          <w:sz w:val="32"/>
          <w:szCs w:val="32"/>
        </w:rPr>
        <w:t>一</w:t>
      </w:r>
      <w:r>
        <w:rPr>
          <w:rFonts w:hint="eastAsia" w:ascii="楷体_GB2312" w:eastAsia="楷体_GB2312"/>
          <w:b/>
          <w:color w:val="000000"/>
          <w:sz w:val="32"/>
          <w:szCs w:val="32"/>
          <w:lang w:eastAsia="zh-CN"/>
        </w:rPr>
        <w:t>、施工、施工监理、勘察设计</w:t>
      </w:r>
      <w:r>
        <w:rPr>
          <w:rFonts w:hint="eastAsia" w:ascii="楷体_GB2312" w:eastAsia="楷体_GB2312"/>
          <w:b/>
          <w:color w:val="000000"/>
          <w:sz w:val="32"/>
          <w:szCs w:val="32"/>
        </w:rPr>
        <w:t>招标</w:t>
      </w:r>
      <w:r>
        <w:rPr>
          <w:rFonts w:hint="eastAsia" w:ascii="楷体_GB2312" w:eastAsia="楷体_GB2312"/>
          <w:b/>
          <w:color w:val="000000"/>
          <w:sz w:val="32"/>
          <w:szCs w:val="32"/>
          <w:lang w:eastAsia="zh-CN"/>
        </w:rPr>
        <w:t>文件</w:t>
      </w:r>
      <w:r>
        <w:rPr>
          <w:rFonts w:hint="eastAsia" w:ascii="楷体_GB2312" w:eastAsia="楷体_GB2312"/>
          <w:b/>
          <w:color w:val="000000"/>
          <w:sz w:val="32"/>
          <w:szCs w:val="32"/>
        </w:rPr>
        <w:t>示范文本</w:t>
      </w:r>
      <w:r>
        <w:rPr>
          <w:rFonts w:hint="eastAsia" w:ascii="楷体_GB2312" w:eastAsia="楷体_GB2312"/>
          <w:b/>
          <w:color w:val="000000"/>
          <w:sz w:val="32"/>
          <w:szCs w:val="32"/>
          <w:lang w:eastAsia="zh-CN"/>
        </w:rPr>
        <w:t>需</w:t>
      </w:r>
      <w:bookmarkStart w:id="0" w:name="_GoBack"/>
      <w:bookmarkEnd w:id="0"/>
      <w:r>
        <w:rPr>
          <w:rFonts w:hint="eastAsia" w:ascii="楷体_GB2312" w:eastAsia="楷体_GB2312"/>
          <w:b/>
          <w:color w:val="000000"/>
          <w:sz w:val="32"/>
          <w:szCs w:val="32"/>
          <w:lang w:eastAsia="zh-CN"/>
        </w:rPr>
        <w:t>共同</w:t>
      </w:r>
      <w:r>
        <w:rPr>
          <w:rFonts w:hint="eastAsia" w:ascii="楷体_GB2312" w:eastAsia="楷体_GB2312"/>
          <w:b/>
          <w:color w:val="000000"/>
          <w:sz w:val="32"/>
          <w:szCs w:val="32"/>
        </w:rPr>
        <w:t>修订条款</w:t>
      </w:r>
      <w:r>
        <w:rPr>
          <w:rFonts w:hint="eastAsia" w:ascii="楷体_GB2312" w:eastAsia="楷体_GB2312"/>
          <w:b/>
          <w:color w:val="000000"/>
          <w:sz w:val="32"/>
          <w:szCs w:val="32"/>
          <w:lang w:eastAsia="zh-CN"/>
        </w:rPr>
        <w:t>的</w:t>
      </w:r>
      <w:r>
        <w:rPr>
          <w:rFonts w:hint="eastAsia" w:ascii="楷体_GB2312" w:eastAsia="楷体_GB2312"/>
          <w:b/>
          <w:color w:val="000000"/>
          <w:sz w:val="32"/>
          <w:szCs w:val="32"/>
        </w:rPr>
        <w:t>说明</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.重新招标和不再招标条款</w:t>
      </w:r>
      <w:r>
        <w:rPr>
          <w:rFonts w:hint="eastAsia" w:ascii="仿宋_GB2312" w:eastAsia="仿宋_GB2312"/>
          <w:color w:val="000000"/>
          <w:sz w:val="32"/>
          <w:szCs w:val="32"/>
        </w:rPr>
        <w:t>修订</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重新招标第</w:t>
      </w:r>
      <w:r>
        <w:rPr>
          <w:rFonts w:hint="eastAsia" w:ascii="仿宋_GB2312" w:eastAsia="仿宋_GB2312"/>
          <w:color w:val="000000"/>
          <w:sz w:val="32"/>
          <w:szCs w:val="32"/>
        </w:rPr>
        <w:t>2款“（2）经评标委员会评审后否决所有投标的；”修改为“（2）经评标委员会评审后有效投标人少于3个的；”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（2）不再招标条款中“重新招标后投标人仍少于</w:t>
      </w:r>
      <w:r>
        <w:rPr>
          <w:rFonts w:ascii="仿宋_GB2312" w:eastAsia="仿宋_GB2312"/>
          <w:color w:val="000000"/>
          <w:sz w:val="32"/>
          <w:szCs w:val="32"/>
        </w:rPr>
        <w:t>3</w:t>
      </w:r>
      <w:r>
        <w:rPr>
          <w:rFonts w:hint="eastAsia" w:ascii="仿宋_GB2312" w:eastAsia="仿宋_GB2312"/>
          <w:color w:val="000000"/>
          <w:sz w:val="32"/>
          <w:szCs w:val="32"/>
        </w:rPr>
        <w:t>个或所有投标被否决的”修改为“重新招标后投标人仍少于3个或经评标委员会评审后有效的投标人少于3个的，”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“招标公告”章节，增加保证金格式要求：</w:t>
      </w:r>
    </w:p>
    <w:p>
      <w:pPr>
        <w:widowControl/>
        <w:tabs>
          <w:tab w:val="left" w:pos="510"/>
          <w:tab w:val="left" w:pos="900"/>
          <w:tab w:val="left" w:pos="993"/>
          <w:tab w:val="left" w:pos="1100"/>
          <w:tab w:val="left" w:pos="3807"/>
        </w:tabs>
        <w:spacing w:line="30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投标保证金提交的方式：□无要求□现金□电子保函□其他。</w:t>
      </w:r>
    </w:p>
    <w:p>
      <w:pPr>
        <w:widowControl/>
        <w:tabs>
          <w:tab w:val="left" w:pos="510"/>
          <w:tab w:val="left" w:pos="900"/>
          <w:tab w:val="left" w:pos="993"/>
          <w:tab w:val="left" w:pos="1100"/>
          <w:tab w:val="left" w:pos="3807"/>
        </w:tabs>
        <w:spacing w:line="300" w:lineRule="auto"/>
        <w:jc w:val="left"/>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附：账户信息</w:t>
      </w:r>
    </w:p>
    <w:tbl>
      <w:tblPr>
        <w:tblStyle w:val="6"/>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770"/>
        <w:gridCol w:w="868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gridBefore w:val="1"/>
          <w:gridAfter w:val="1"/>
          <w:wBefore w:w="770" w:type="dxa"/>
          <w:wAfter w:w="733" w:type="dxa"/>
          <w:trHeight w:val="558" w:hRule="atLeast"/>
          <w:jc w:val="center"/>
        </w:trPr>
        <w:tc>
          <w:tcPr>
            <w:tcW w:w="8686" w:type="dxa"/>
            <w:tcMar>
              <w:top w:w="0" w:type="dxa"/>
              <w:left w:w="105" w:type="dxa"/>
              <w:bottom w:w="0" w:type="dxa"/>
              <w:right w:w="105" w:type="dxa"/>
            </w:tcMar>
            <w:vAlign w:val="center"/>
          </w:tcPr>
          <w:p>
            <w:pPr>
              <w:widowControl/>
              <w:spacing w:before="100" w:after="100" w:line="320" w:lineRule="exact"/>
              <w:jc w:val="center"/>
              <w:rPr>
                <w:rFonts w:ascii="仿宋_GB2312" w:eastAsia="仿宋_GB2312"/>
                <w:color w:val="000000"/>
                <w:kern w:val="0"/>
                <w:sz w:val="28"/>
                <w:szCs w:val="28"/>
              </w:rPr>
            </w:pPr>
            <w:r>
              <w:rPr>
                <w:rFonts w:hint="eastAsia" w:ascii="仿宋_GB2312" w:hAnsi="宋体" w:eastAsia="仿宋_GB2312" w:cs="宋体"/>
                <w:b/>
                <w:bCs/>
                <w:color w:val="000000"/>
                <w:kern w:val="0"/>
                <w:sz w:val="28"/>
                <w:szCs w:val="28"/>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49" w:hRule="atLeast"/>
          <w:jc w:val="center"/>
        </w:trPr>
        <w:tc>
          <w:tcPr>
            <w:tcW w:w="10189" w:type="dxa"/>
            <w:gridSpan w:val="3"/>
            <w:tcMar>
              <w:top w:w="0" w:type="dxa"/>
              <w:left w:w="105" w:type="dxa"/>
              <w:bottom w:w="0" w:type="dxa"/>
              <w:right w:w="105" w:type="dxa"/>
            </w:tcMar>
            <w:vAlign w:val="center"/>
          </w:tcPr>
          <w:p>
            <w:pPr>
              <w:widowControl/>
              <w:spacing w:before="100" w:after="100" w:line="320" w:lineRule="exact"/>
              <w:jc w:val="left"/>
              <w:rPr>
                <w:rFonts w:ascii="仿宋_GB2312" w:eastAsia="仿宋_GB2312"/>
                <w:color w:val="000000"/>
                <w:kern w:val="0"/>
                <w:sz w:val="28"/>
                <w:szCs w:val="28"/>
              </w:rPr>
            </w:pPr>
            <w:r>
              <w:rPr>
                <w:rFonts w:hint="eastAsia" w:ascii="仿宋_GB2312" w:hAnsi="宋体" w:eastAsia="仿宋_GB2312" w:cs="宋体"/>
                <w:color w:val="000000"/>
                <w:kern w:val="0"/>
                <w:sz w:val="28"/>
                <w:szCs w:val="28"/>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677" w:hRule="atLeast"/>
          <w:jc w:val="center"/>
        </w:trPr>
        <w:tc>
          <w:tcPr>
            <w:tcW w:w="10189" w:type="dxa"/>
            <w:gridSpan w:val="3"/>
            <w:tcMar>
              <w:top w:w="0" w:type="dxa"/>
              <w:left w:w="105" w:type="dxa"/>
              <w:bottom w:w="0" w:type="dxa"/>
              <w:right w:w="105" w:type="dxa"/>
            </w:tcMar>
            <w:vAlign w:val="center"/>
          </w:tcPr>
          <w:p>
            <w:pPr>
              <w:pStyle w:val="3"/>
              <w:spacing w:line="320" w:lineRule="exact"/>
              <w:rPr>
                <w:rFonts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41" w:hRule="atLeast"/>
          <w:jc w:val="center"/>
        </w:trPr>
        <w:tc>
          <w:tcPr>
            <w:tcW w:w="10189" w:type="dxa"/>
            <w:gridSpan w:val="3"/>
            <w:tcMar>
              <w:top w:w="0" w:type="dxa"/>
              <w:left w:w="105" w:type="dxa"/>
              <w:bottom w:w="0" w:type="dxa"/>
              <w:right w:w="105" w:type="dxa"/>
            </w:tcMar>
            <w:vAlign w:val="center"/>
          </w:tcPr>
          <w:p>
            <w:pPr>
              <w:widowControl/>
              <w:spacing w:before="100" w:after="100" w:line="320" w:lineRule="exact"/>
              <w:jc w:val="left"/>
              <w:rPr>
                <w:rFonts w:ascii="仿宋_GB2312" w:eastAsia="仿宋_GB2312"/>
                <w:color w:val="000000"/>
                <w:kern w:val="0"/>
                <w:sz w:val="28"/>
                <w:szCs w:val="28"/>
              </w:rPr>
            </w:pPr>
            <w:r>
              <w:rPr>
                <w:rFonts w:hint="eastAsia" w:ascii="仿宋_GB2312" w:hAnsi="宋体" w:eastAsia="仿宋_GB2312" w:cs="宋体"/>
                <w:color w:val="000000"/>
                <w:kern w:val="0"/>
                <w:sz w:val="28"/>
                <w:szCs w:val="28"/>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600" w:hRule="atLeast"/>
          <w:jc w:val="center"/>
        </w:trPr>
        <w:tc>
          <w:tcPr>
            <w:tcW w:w="10189" w:type="dxa"/>
            <w:gridSpan w:val="3"/>
            <w:tcMar>
              <w:top w:w="0" w:type="dxa"/>
              <w:left w:w="105" w:type="dxa"/>
              <w:bottom w:w="0" w:type="dxa"/>
              <w:right w:w="105" w:type="dxa"/>
            </w:tcMar>
            <w:vAlign w:val="center"/>
          </w:tcPr>
          <w:p>
            <w:pPr>
              <w:widowControl/>
              <w:spacing w:before="100" w:after="100" w:line="320" w:lineRule="exact"/>
              <w:jc w:val="center"/>
              <w:rPr>
                <w:rFonts w:ascii="仿宋_GB2312" w:eastAsia="仿宋_GB2312"/>
                <w:color w:val="000000"/>
                <w:kern w:val="0"/>
                <w:sz w:val="28"/>
                <w:szCs w:val="28"/>
              </w:rPr>
            </w:pPr>
            <w:r>
              <w:rPr>
                <w:rFonts w:hint="eastAsia" w:ascii="仿宋_GB2312" w:hAnsi="宋体" w:eastAsia="仿宋_GB2312" w:cs="宋体"/>
                <w:b/>
                <w:bCs/>
                <w:color w:val="000000"/>
                <w:kern w:val="0"/>
                <w:sz w:val="28"/>
                <w:szCs w:val="2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1625" w:hRule="atLeast"/>
          <w:jc w:val="center"/>
        </w:trPr>
        <w:tc>
          <w:tcPr>
            <w:tcW w:w="10189" w:type="dxa"/>
            <w:gridSpan w:val="3"/>
            <w:tcMar>
              <w:top w:w="0" w:type="dxa"/>
              <w:left w:w="105" w:type="dxa"/>
              <w:bottom w:w="0" w:type="dxa"/>
              <w:right w:w="105" w:type="dxa"/>
            </w:tcMar>
            <w:vAlign w:val="top"/>
          </w:tcPr>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第一种方式：采用银行转账缴纳</w:t>
            </w:r>
          </w:p>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1、请投标人务必认真核对账户信息，将投标保证金汇入以上账户或招标文件约定生成的虚拟账户，并自行承担因汇错投标保证金而产生的一切后果。</w:t>
            </w:r>
          </w:p>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2、请投标人在转账或电汇的凭证上务必按照以下格式注明，以便核对：“（项目名称：****）的投标保证金”。</w:t>
            </w:r>
          </w:p>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第二种方式：采用电子保函</w:t>
            </w:r>
          </w:p>
          <w:p>
            <w:pPr>
              <w:pStyle w:val="4"/>
              <w:spacing w:after="0"/>
              <w:ind w:left="0" w:leftChars="0" w:firstLine="560"/>
              <w:rPr>
                <w:rFonts w:ascii="仿宋_GB2312" w:eastAsia="仿宋_GB2312"/>
                <w:b/>
                <w:bCs/>
                <w:color w:val="000000"/>
                <w:sz w:val="28"/>
                <w:szCs w:val="28"/>
                <w:u w:val="single"/>
              </w:rPr>
            </w:pPr>
            <w:r>
              <w:rPr>
                <w:rFonts w:hint="eastAsia" w:ascii="仿宋_GB2312" w:hAnsi="宋体" w:eastAsia="仿宋_GB2312" w:cs="宋体"/>
                <w:color w:val="000000"/>
                <w:kern w:val="0"/>
                <w:sz w:val="28"/>
                <w:szCs w:val="28"/>
              </w:rPr>
              <w:t>投标人以保函形式提交投标保证金的，应当使用符合《福建省公共资源电子保函文件格式标准（试行）》的电子保函文件，在投标截止时间之前按照招标文件约定的时间将电子保函文件放入投标文件中一并提交给招标人，否则视为未提交投标保证金。</w:t>
            </w:r>
          </w:p>
        </w:tc>
      </w:tr>
    </w:tbl>
    <w:p>
      <w:pPr>
        <w:ind w:firstLine="0" w:firstLineChars="0"/>
        <w:jc w:val="left"/>
        <w:rPr>
          <w:rFonts w:ascii="仿宋_GB2312" w:eastAsia="仿宋_GB2312"/>
          <w:color w:val="000000"/>
          <w:sz w:val="32"/>
          <w:szCs w:val="32"/>
        </w:rPr>
      </w:pPr>
      <w:r>
        <w:rPr>
          <w:rFonts w:hint="eastAsia"/>
          <w:color w:val="000000"/>
          <w:lang w:val="en-US" w:eastAsia="zh-CN"/>
        </w:rPr>
        <w:t xml:space="preserve">    </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“投标须知前附表”章节涉及投标保证金的</w:t>
      </w:r>
      <w:r>
        <w:rPr>
          <w:rFonts w:hint="eastAsia" w:ascii="仿宋_GB2312"/>
          <w:color w:val="000000"/>
          <w:sz w:val="32"/>
          <w:szCs w:val="32"/>
          <w:lang w:eastAsia="zh-CN"/>
        </w:rPr>
        <w:t>条款修订</w:t>
      </w:r>
      <w:r>
        <w:rPr>
          <w:rFonts w:hint="eastAsia" w:ascii="仿宋_GB2312" w:eastAsia="仿宋_GB2312"/>
          <w:color w:val="000000"/>
          <w:sz w:val="32"/>
          <w:szCs w:val="32"/>
        </w:rPr>
        <w:t>如下：</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投标保证金：</w:t>
      </w:r>
    </w:p>
    <w:p>
      <w:pPr>
        <w:ind w:firstLine="640" w:firstLineChars="200"/>
        <w:rPr>
          <w:rFonts w:ascii="仿宋_GB2312" w:hAnsi="宋体" w:eastAsia="仿宋_GB2312"/>
          <w:color w:val="000000"/>
          <w:sz w:val="32"/>
          <w:szCs w:val="32"/>
        </w:rPr>
      </w:pPr>
      <w:r>
        <w:rPr>
          <w:rFonts w:hint="eastAsia" w:ascii="仿宋_GB2312" w:hAnsi="宋体"/>
          <w:color w:val="000000"/>
          <w:sz w:val="32"/>
          <w:szCs w:val="32"/>
          <w:lang w:val="en-US" w:eastAsia="zh-CN"/>
        </w:rPr>
        <w:t>(1)</w:t>
      </w:r>
      <w:r>
        <w:rPr>
          <w:rFonts w:hint="eastAsia" w:ascii="仿宋_GB2312" w:hAnsi="宋体" w:eastAsia="仿宋_GB2312"/>
          <w:color w:val="000000"/>
          <w:sz w:val="32"/>
          <w:szCs w:val="32"/>
        </w:rPr>
        <w:t>投标保证金金额：</w:t>
      </w:r>
      <w:r>
        <w:rPr>
          <w:rFonts w:hint="eastAsia" w:ascii="仿宋_GB2312" w:hAnsi="宋体" w:eastAsia="仿宋_GB2312"/>
          <w:color w:val="000000"/>
          <w:sz w:val="32"/>
          <w:szCs w:val="32"/>
          <w:u w:val="single"/>
        </w:rPr>
        <w:t>　　　　　</w:t>
      </w:r>
      <w:r>
        <w:rPr>
          <w:rFonts w:hint="eastAsia" w:ascii="仿宋_GB2312" w:hAnsi="宋体" w:eastAsia="仿宋_GB2312"/>
          <w:color w:val="000000"/>
          <w:sz w:val="32"/>
          <w:szCs w:val="32"/>
        </w:rPr>
        <w:t>元人民币。</w:t>
      </w:r>
    </w:p>
    <w:p>
      <w:pPr>
        <w:ind w:firstLine="640" w:firstLineChars="200"/>
        <w:rPr>
          <w:rFonts w:ascii="仿宋_GB2312" w:hAnsi="宋体" w:eastAsia="仿宋_GB2312"/>
          <w:color w:val="000000"/>
          <w:sz w:val="32"/>
          <w:szCs w:val="32"/>
        </w:rPr>
      </w:pPr>
      <w:r>
        <w:rPr>
          <w:rFonts w:hint="eastAsia" w:ascii="仿宋_GB2312" w:hAnsi="宋体"/>
          <w:color w:val="000000"/>
          <w:sz w:val="32"/>
          <w:szCs w:val="32"/>
          <w:lang w:val="en-US" w:eastAsia="zh-CN"/>
        </w:rPr>
        <w:t>(2)</w:t>
      </w:r>
      <w:r>
        <w:rPr>
          <w:rFonts w:hint="eastAsia" w:ascii="仿宋_GB2312" w:hAnsi="宋体" w:eastAsia="仿宋_GB2312"/>
          <w:color w:val="000000"/>
          <w:sz w:val="32"/>
          <w:szCs w:val="32"/>
        </w:rPr>
        <w:t>投标保证金形式： 投标人可以使用下列第</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种形式提交。</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①银行转账形式:应在投标截止时间之前从投标人所在地银行的投标人企业基本账户以电汇或银行转账的形式，汇到招标文件指定的投标保证金账户，并应在电汇或银行转账单上注明</w:t>
      </w:r>
      <w:r>
        <w:rPr>
          <w:rFonts w:hint="eastAsia" w:ascii="仿宋_GB2312" w:hAnsi="宋体" w:eastAsia="仿宋_GB2312"/>
          <w:color w:val="000000"/>
          <w:sz w:val="32"/>
          <w:szCs w:val="32"/>
          <w:u w:val="single"/>
        </w:rPr>
        <w:t xml:space="preserve">        （招标项目编号）   </w:t>
      </w:r>
      <w:r>
        <w:rPr>
          <w:rFonts w:hint="eastAsia" w:ascii="仿宋_GB2312" w:hAnsi="宋体" w:eastAsia="仿宋_GB2312"/>
          <w:color w:val="000000"/>
          <w:sz w:val="32"/>
          <w:szCs w:val="32"/>
        </w:rPr>
        <w:t>，如因投标人汇款凭证未注明招标项目编号造成银行无法识别投标保证金到账情况或识别错误的，其责任由投标人自行承担。投标保证金到帐汇款证明作为投标人是否按招标文件规定递交投标保证金的依据。招标人应当在投标截止的同一时间自行查询投标保证金到帐情况。投标人企业开户许可证或基本存款账户信息上账号应与投标保证金转账回单上账号一致，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投标保证金银行帐号：</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开户银行：</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帐户名称：</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帐    号：</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银行存款利率类型为：银行存款同期活期利率，并从投标截止当日开始计息。</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利息部分应出具发票的类型为：税务发票</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②银行保函形式：</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。银行保函能够通过互联网且无需任何授权即可在相应银行的官方网站验证真伪，并在保函上写明网址，否则视为未按规定提交投标保证金，资格审查不合格。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③工程担保公司出具的担保保函形式（适用于已推行工程担保的地区）：</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。担保保函能够通过互联网且无需任何授权即可在相应工程担保公司的官方网站验证真伪，并在保函上写明网址，否则视为未按规定提交投标保证金，资格审查不合格。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④保险公司出具的投标保证保险形式（投标保证保险的保险条款须经中国银保监会或原中国保监会批准或备案）：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。投标保证保险能够通过互联网且无需任何授权即可在相应保险公司的官方网站验证真伪，并在保函上写明网址，否则视为未按规定提交投标保证金，资格审查不合格。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color w:val="000000"/>
          <w:sz w:val="32"/>
          <w:szCs w:val="32"/>
          <w:lang w:val="en-US" w:eastAsia="zh-CN"/>
        </w:rPr>
        <w:t>(3)</w:t>
      </w:r>
      <w:r>
        <w:rPr>
          <w:rFonts w:hint="eastAsia" w:ascii="仿宋_GB2312" w:hAnsi="宋体" w:eastAsia="仿宋_GB2312"/>
          <w:color w:val="000000"/>
          <w:sz w:val="32"/>
          <w:szCs w:val="32"/>
        </w:rPr>
        <w:t>投标保证金证明材料提交形式：</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①将电汇或银行转账单（加盖投标人单位电子印章）作为资格文件的组成部分。</w:t>
      </w:r>
    </w:p>
    <w:p>
      <w:pPr>
        <w:widowControl/>
        <w:tabs>
          <w:tab w:val="left" w:pos="900"/>
          <w:tab w:val="left" w:pos="1100"/>
        </w:tabs>
        <w:ind w:firstLine="640" w:firstLineChars="200"/>
        <w:jc w:val="left"/>
        <w:rPr>
          <w:rFonts w:ascii="仿宋_GB2312" w:hAnsi="宋体" w:eastAsia="仿宋_GB2312"/>
          <w:b/>
          <w:bCs/>
          <w:color w:val="000000"/>
          <w:sz w:val="32"/>
          <w:szCs w:val="32"/>
        </w:rPr>
      </w:pPr>
      <w:r>
        <w:rPr>
          <w:rFonts w:hint="eastAsia" w:ascii="仿宋_GB2312" w:hAnsi="宋体" w:eastAsia="仿宋_GB2312"/>
          <w:color w:val="000000"/>
          <w:sz w:val="32"/>
          <w:szCs w:val="32"/>
        </w:rPr>
        <w:t>②投标人以保函形式提交投标保证金的，应当使用符合《福建省公共资源电子保函文件格式标准（试行）》的电子保函文件，在投标截止时间之前按照招标文件约定的时间将电子保函文件放入投标文件中一并提交给招标人，否则视为未提交投标保证金。</w:t>
      </w:r>
    </w:p>
    <w:p>
      <w:pPr>
        <w:ind w:firstLine="640" w:firstLineChars="200"/>
        <w:jc w:val="left"/>
        <w:rPr>
          <w:rFonts w:ascii="仿宋_GB2312" w:hAnsi="宋体" w:eastAsia="仿宋_GB2312"/>
          <w:color w:val="000000"/>
          <w:sz w:val="32"/>
          <w:szCs w:val="32"/>
        </w:rPr>
      </w:pPr>
      <w:r>
        <w:rPr>
          <w:rFonts w:hint="eastAsia" w:ascii="仿宋_GB2312" w:hAnsi="宋体"/>
          <w:color w:val="000000"/>
          <w:sz w:val="32"/>
          <w:szCs w:val="32"/>
          <w:lang w:val="en-US" w:eastAsia="zh-CN"/>
        </w:rPr>
        <w:t>(4)</w:t>
      </w:r>
      <w:r>
        <w:rPr>
          <w:rFonts w:hint="eastAsia" w:ascii="仿宋_GB2312" w:hAnsi="宋体" w:eastAsia="仿宋_GB2312"/>
          <w:color w:val="000000"/>
          <w:sz w:val="32"/>
          <w:szCs w:val="32"/>
        </w:rPr>
        <w:t>投标保证金有效期：与投标有效期一致。</w:t>
      </w:r>
    </w:p>
    <w:p>
      <w:pPr>
        <w:jc w:val="left"/>
        <w:rPr>
          <w:rFonts w:ascii="楷体_GB2312" w:hAnsi="黑体" w:eastAsia="楷体_GB2312"/>
          <w:b/>
          <w:color w:val="000000"/>
          <w:sz w:val="32"/>
          <w:szCs w:val="32"/>
        </w:rPr>
      </w:pPr>
      <w:r>
        <w:rPr>
          <w:rFonts w:hint="eastAsia" w:ascii="楷体_GB2312" w:hAnsi="黑体" w:eastAsia="楷体_GB2312"/>
          <w:b/>
          <w:color w:val="000000"/>
          <w:sz w:val="32"/>
          <w:szCs w:val="32"/>
        </w:rPr>
        <w:t>二</w:t>
      </w:r>
      <w:r>
        <w:rPr>
          <w:rFonts w:hint="eastAsia" w:ascii="楷体_GB2312" w:hAnsi="黑体" w:eastAsia="楷体_GB2312"/>
          <w:b/>
          <w:color w:val="000000"/>
          <w:sz w:val="32"/>
          <w:szCs w:val="32"/>
          <w:lang w:eastAsia="zh-CN"/>
        </w:rPr>
        <w:t>、</w:t>
      </w:r>
      <w:r>
        <w:rPr>
          <w:rFonts w:hint="eastAsia" w:ascii="楷体_GB2312" w:hAnsi="黑体" w:eastAsia="楷体_GB2312"/>
          <w:b/>
          <w:color w:val="000000"/>
          <w:sz w:val="32"/>
          <w:szCs w:val="32"/>
        </w:rPr>
        <w:t>《福建省渔港工程施工招标文件示范文本（试行）》</w:t>
      </w:r>
      <w:r>
        <w:rPr>
          <w:rFonts w:hint="eastAsia" w:ascii="楷体_GB2312" w:hAnsi="黑体" w:eastAsia="楷体_GB2312"/>
          <w:b/>
          <w:color w:val="000000"/>
          <w:sz w:val="32"/>
          <w:szCs w:val="32"/>
          <w:lang w:eastAsia="zh-CN"/>
        </w:rPr>
        <w:t>其它</w:t>
      </w:r>
      <w:r>
        <w:rPr>
          <w:rFonts w:hint="eastAsia" w:ascii="楷体_GB2312" w:hAnsi="黑体" w:eastAsia="楷体_GB2312"/>
          <w:b/>
          <w:color w:val="000000"/>
          <w:sz w:val="32"/>
          <w:szCs w:val="32"/>
        </w:rPr>
        <w:t>条款修订</w:t>
      </w:r>
      <w:r>
        <w:rPr>
          <w:rFonts w:hint="eastAsia" w:ascii="楷体_GB2312" w:hAnsi="黑体" w:eastAsia="楷体_GB2312"/>
          <w:b/>
          <w:color w:val="000000"/>
          <w:sz w:val="32"/>
          <w:szCs w:val="32"/>
          <w:lang w:eastAsia="zh-CN"/>
        </w:rPr>
        <w:t>的</w:t>
      </w:r>
      <w:r>
        <w:rPr>
          <w:rFonts w:hint="eastAsia" w:ascii="楷体_GB2312" w:hAnsi="黑体" w:eastAsia="楷体_GB2312"/>
          <w:b/>
          <w:color w:val="000000"/>
          <w:sz w:val="32"/>
          <w:szCs w:val="32"/>
        </w:rPr>
        <w:t>说明</w:t>
      </w:r>
    </w:p>
    <w:p>
      <w:pPr>
        <w:ind w:firstLine="640" w:firstLineChars="200"/>
        <w:jc w:val="left"/>
        <w:rPr>
          <w:rFonts w:hint="eastAsia" w:ascii="仿宋_GB2312" w:hAnsi="宋体"/>
          <w:color w:val="000000"/>
          <w:sz w:val="32"/>
          <w:szCs w:val="32"/>
          <w:lang w:eastAsia="zh-CN"/>
        </w:rPr>
      </w:pPr>
      <w:r>
        <w:rPr>
          <w:rFonts w:hint="eastAsia" w:ascii="仿宋_GB2312" w:hAnsi="宋体" w:eastAsia="仿宋_GB2312"/>
          <w:color w:val="000000"/>
          <w:sz w:val="32"/>
          <w:szCs w:val="32"/>
        </w:rPr>
        <w:t>1</w:t>
      </w:r>
      <w:r>
        <w:rPr>
          <w:rFonts w:ascii="仿宋_GB2312" w:hAnsi="宋体" w:eastAsia="仿宋_GB2312"/>
          <w:color w:val="000000"/>
          <w:sz w:val="32"/>
          <w:szCs w:val="32"/>
        </w:rPr>
        <w:t>.</w:t>
      </w:r>
      <w:r>
        <w:rPr>
          <w:rFonts w:hint="eastAsia" w:ascii="仿宋_GB2312" w:hAnsi="宋体"/>
          <w:color w:val="000000"/>
          <w:sz w:val="32"/>
          <w:szCs w:val="32"/>
          <w:lang w:val="en-US" w:eastAsia="zh-CN"/>
        </w:rPr>
        <w:t>P31,8.1</w:t>
      </w:r>
      <w:r>
        <w:rPr>
          <w:rFonts w:ascii="仿宋_GB2312" w:hAnsi="宋体" w:eastAsia="仿宋_GB2312"/>
          <w:color w:val="000000"/>
          <w:sz w:val="32"/>
          <w:szCs w:val="32"/>
        </w:rPr>
        <w:t>重新招标条款</w:t>
      </w:r>
      <w:r>
        <w:rPr>
          <w:rFonts w:hint="eastAsia" w:ascii="仿宋_GB2312" w:hAnsi="宋体" w:eastAsia="仿宋_GB2312"/>
          <w:color w:val="000000"/>
          <w:sz w:val="32"/>
          <w:szCs w:val="32"/>
        </w:rPr>
        <w:t>，</w:t>
      </w:r>
      <w:r>
        <w:rPr>
          <w:rFonts w:ascii="仿宋_GB2312" w:hAnsi="宋体" w:eastAsia="仿宋_GB2312"/>
          <w:color w:val="000000"/>
          <w:sz w:val="32"/>
          <w:szCs w:val="32"/>
        </w:rPr>
        <w:t>删除第三款</w:t>
      </w:r>
      <w:r>
        <w:rPr>
          <w:rFonts w:hint="eastAsia" w:ascii="仿宋_GB2312" w:hAnsi="宋体" w:eastAsia="仿宋_GB2312"/>
          <w:color w:val="000000"/>
          <w:sz w:val="32"/>
          <w:szCs w:val="32"/>
        </w:rPr>
        <w:t>“（</w:t>
      </w:r>
      <w:r>
        <w:rPr>
          <w:rFonts w:ascii="仿宋_GB2312" w:hAnsi="宋体" w:eastAsia="仿宋_GB2312"/>
          <w:color w:val="000000"/>
          <w:sz w:val="32"/>
          <w:szCs w:val="32"/>
        </w:rPr>
        <w:t>3</w:t>
      </w:r>
      <w:r>
        <w:rPr>
          <w:rFonts w:hint="eastAsia" w:ascii="仿宋_GB2312" w:hAnsi="宋体" w:eastAsia="仿宋_GB2312"/>
          <w:color w:val="000000"/>
          <w:sz w:val="32"/>
          <w:szCs w:val="32"/>
        </w:rPr>
        <w:t>）评标委员会否决不合格投标或者界定为无效投标后因有效投标不足</w:t>
      </w:r>
      <w:r>
        <w:rPr>
          <w:rFonts w:ascii="仿宋_GB2312" w:hAnsi="宋体" w:eastAsia="仿宋_GB2312"/>
          <w:color w:val="000000"/>
          <w:sz w:val="32"/>
          <w:szCs w:val="32"/>
        </w:rPr>
        <w:t>3</w:t>
      </w:r>
      <w:r>
        <w:rPr>
          <w:rFonts w:hint="eastAsia" w:ascii="仿宋_GB2312" w:hAnsi="宋体" w:eastAsia="仿宋_GB2312"/>
          <w:color w:val="000000"/>
          <w:sz w:val="32"/>
          <w:szCs w:val="32"/>
        </w:rPr>
        <w:t>家，使得投标明显缺乏竞争，评标委员会否决全部投标的；”</w:t>
      </w:r>
      <w:r>
        <w:rPr>
          <w:rFonts w:hint="eastAsia" w:ascii="仿宋_GB2312" w:hAnsi="宋体"/>
          <w:color w:val="000000"/>
          <w:sz w:val="32"/>
          <w:szCs w:val="32"/>
          <w:lang w:eastAsia="zh-CN"/>
        </w:rPr>
        <w:t>。</w:t>
      </w:r>
    </w:p>
    <w:p>
      <w:pPr>
        <w:ind w:firstLine="640" w:firstLineChars="200"/>
        <w:jc w:val="left"/>
        <w:rPr>
          <w:rFonts w:hint="eastAsia" w:ascii="仿宋_GB2312" w:hAnsi="宋体"/>
          <w:color w:val="000000"/>
          <w:sz w:val="32"/>
          <w:szCs w:val="32"/>
          <w:lang w:eastAsia="zh-CN"/>
        </w:rPr>
      </w:pPr>
      <w:r>
        <w:rPr>
          <w:rFonts w:hint="eastAsia" w:ascii="仿宋_GB2312" w:eastAsia="仿宋_GB2312"/>
          <w:color w:val="000000"/>
          <w:sz w:val="32"/>
          <w:szCs w:val="32"/>
        </w:rPr>
        <w:t>理由：增加</w:t>
      </w:r>
      <w:r>
        <w:rPr>
          <w:rFonts w:hint="eastAsia" w:ascii="仿宋_GB2312"/>
          <w:color w:val="000000"/>
          <w:sz w:val="32"/>
          <w:szCs w:val="32"/>
          <w:lang w:eastAsia="zh-CN"/>
        </w:rPr>
        <w:t>有效投标人</w:t>
      </w:r>
      <w:r>
        <w:rPr>
          <w:rFonts w:hint="eastAsia" w:ascii="仿宋_GB2312" w:eastAsia="仿宋_GB2312"/>
          <w:color w:val="000000"/>
          <w:sz w:val="32"/>
          <w:szCs w:val="32"/>
        </w:rPr>
        <w:t>。</w:t>
      </w:r>
    </w:p>
    <w:p>
      <w:pPr>
        <w:numPr>
          <w:ilvl w:val="0"/>
          <w:numId w:val="1"/>
        </w:numPr>
        <w:ind w:firstLine="640" w:firstLineChars="200"/>
        <w:jc w:val="left"/>
        <w:rPr>
          <w:rFonts w:hint="eastAsia" w:ascii="仿宋_GB2312" w:hAnsi="宋体"/>
          <w:color w:val="000000"/>
          <w:sz w:val="32"/>
          <w:szCs w:val="32"/>
          <w:lang w:val="en-US" w:eastAsia="zh-CN"/>
        </w:rPr>
      </w:pPr>
      <w:r>
        <w:rPr>
          <w:rFonts w:ascii="仿宋_GB2312" w:hAnsi="宋体" w:eastAsia="仿宋_GB2312"/>
          <w:color w:val="000000"/>
          <w:sz w:val="32"/>
          <w:szCs w:val="32"/>
        </w:rPr>
        <w:t>删除</w:t>
      </w:r>
      <w:r>
        <w:rPr>
          <w:rFonts w:hint="eastAsia" w:ascii="仿宋_GB2312" w:hAnsi="宋体"/>
          <w:color w:val="000000"/>
          <w:sz w:val="32"/>
          <w:szCs w:val="32"/>
          <w:lang w:eastAsia="zh-CN"/>
        </w:rPr>
        <w:t>总则第</w:t>
      </w:r>
      <w:r>
        <w:rPr>
          <w:rFonts w:hint="eastAsia" w:ascii="仿宋_GB2312" w:hAnsi="宋体"/>
          <w:color w:val="000000"/>
          <w:sz w:val="32"/>
          <w:szCs w:val="32"/>
          <w:lang w:val="en-US" w:eastAsia="zh-CN"/>
        </w:rPr>
        <w:t>4点“且设定类似项目业绩要求仅限于中心、一级渔港项目建设。”</w:t>
      </w:r>
    </w:p>
    <w:p>
      <w:pPr>
        <w:ind w:firstLine="640" w:firstLineChars="200"/>
        <w:jc w:val="left"/>
        <w:rPr>
          <w:rFonts w:hint="eastAsia" w:ascii="仿宋_GB2312" w:hAnsi="宋体"/>
          <w:color w:val="000000"/>
          <w:sz w:val="32"/>
          <w:szCs w:val="32"/>
          <w:lang w:val="en-US" w:eastAsia="zh-CN"/>
        </w:rPr>
      </w:pPr>
      <w:r>
        <w:rPr>
          <w:rFonts w:hint="eastAsia" w:ascii="仿宋_GB2312" w:eastAsia="仿宋_GB2312"/>
          <w:color w:val="000000"/>
          <w:sz w:val="32"/>
          <w:szCs w:val="32"/>
        </w:rPr>
        <w:t>理由：降低业绩得分难度，提升潜在投标人的竞争性。</w:t>
      </w:r>
    </w:p>
    <w:p>
      <w:pPr>
        <w:jc w:val="left"/>
        <w:rPr>
          <w:rFonts w:ascii="楷体_GB2312" w:hAnsi="黑体" w:eastAsia="楷体_GB2312"/>
          <w:b/>
          <w:color w:val="000000"/>
          <w:sz w:val="32"/>
          <w:szCs w:val="32"/>
        </w:rPr>
      </w:pPr>
      <w:r>
        <w:rPr>
          <w:rFonts w:hint="eastAsia" w:ascii="楷体_GB2312" w:hAnsi="黑体" w:eastAsia="楷体_GB2312"/>
          <w:b/>
          <w:color w:val="000000"/>
          <w:sz w:val="32"/>
          <w:szCs w:val="32"/>
        </w:rPr>
        <w:t>三</w:t>
      </w:r>
      <w:r>
        <w:rPr>
          <w:rFonts w:hint="eastAsia" w:ascii="楷体_GB2312" w:hAnsi="黑体" w:eastAsia="楷体_GB2312"/>
          <w:b/>
          <w:color w:val="000000"/>
          <w:sz w:val="32"/>
          <w:szCs w:val="32"/>
          <w:lang w:eastAsia="zh-CN"/>
        </w:rPr>
        <w:t>、</w:t>
      </w:r>
      <w:r>
        <w:rPr>
          <w:rFonts w:hint="eastAsia" w:ascii="楷体_GB2312" w:hAnsi="黑体" w:eastAsia="楷体_GB2312"/>
          <w:b/>
          <w:color w:val="000000"/>
          <w:sz w:val="32"/>
          <w:szCs w:val="32"/>
        </w:rPr>
        <w:t>《福建省渔港工程勘察设计招标文件示范文本（试行）》</w:t>
      </w:r>
      <w:r>
        <w:rPr>
          <w:rFonts w:hint="eastAsia" w:ascii="楷体_GB2312" w:hAnsi="黑体" w:eastAsia="楷体_GB2312"/>
          <w:b/>
          <w:color w:val="000000"/>
          <w:sz w:val="32"/>
          <w:szCs w:val="32"/>
          <w:lang w:eastAsia="zh-CN"/>
        </w:rPr>
        <w:t>其它</w:t>
      </w:r>
      <w:r>
        <w:rPr>
          <w:rFonts w:hint="eastAsia" w:ascii="楷体_GB2312" w:hAnsi="黑体" w:eastAsia="楷体_GB2312"/>
          <w:b/>
          <w:color w:val="000000"/>
          <w:sz w:val="32"/>
          <w:szCs w:val="32"/>
        </w:rPr>
        <w:t>条款修订</w:t>
      </w:r>
      <w:r>
        <w:rPr>
          <w:rFonts w:hint="eastAsia" w:ascii="楷体_GB2312" w:hAnsi="黑体" w:eastAsia="楷体_GB2312"/>
          <w:b/>
          <w:color w:val="000000"/>
          <w:sz w:val="32"/>
          <w:szCs w:val="32"/>
          <w:lang w:eastAsia="zh-CN"/>
        </w:rPr>
        <w:t>的</w:t>
      </w:r>
      <w:r>
        <w:rPr>
          <w:rFonts w:hint="eastAsia" w:ascii="楷体_GB2312" w:hAnsi="黑体" w:eastAsia="楷体_GB2312"/>
          <w:b/>
          <w:color w:val="000000"/>
          <w:sz w:val="32"/>
          <w:szCs w:val="32"/>
        </w:rPr>
        <w:t>说明</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P3、P25，“业绩要求”由“至少完成过1项（招标人设定类似工程业绩，原则应与拟建项目初步设计</w:t>
      </w:r>
      <w:r>
        <w:rPr>
          <w:rFonts w:hint="eastAsia" w:ascii="仿宋_GB2312"/>
          <w:color w:val="000000"/>
          <w:sz w:val="32"/>
          <w:szCs w:val="32"/>
          <w:lang w:eastAsia="zh-CN"/>
        </w:rPr>
        <w:t>（</w:t>
      </w:r>
      <w:r>
        <w:rPr>
          <w:rFonts w:hint="eastAsia" w:ascii="仿宋_GB2312" w:eastAsia="仿宋_GB2312"/>
          <w:color w:val="000000"/>
          <w:sz w:val="32"/>
          <w:szCs w:val="32"/>
        </w:rPr>
        <w:t>实施方案</w:t>
      </w:r>
      <w:r>
        <w:rPr>
          <w:rFonts w:hint="eastAsia" w:ascii="仿宋_GB2312"/>
          <w:color w:val="000000"/>
          <w:sz w:val="32"/>
          <w:szCs w:val="32"/>
          <w:lang w:eastAsia="zh-CN"/>
        </w:rPr>
        <w:t>）</w:t>
      </w:r>
      <w:r>
        <w:rPr>
          <w:rFonts w:hint="eastAsia" w:ascii="仿宋_GB2312" w:eastAsia="仿宋_GB2312"/>
          <w:color w:val="000000"/>
          <w:sz w:val="32"/>
          <w:szCs w:val="32"/>
        </w:rPr>
        <w:t>批复的建设等级、类别及建设规模相适应或更高(不含批复文件的预留等级、类别和规模)的渔港</w:t>
      </w:r>
      <w:r>
        <w:rPr>
          <w:rFonts w:hint="eastAsia" w:ascii="仿宋_GB2312"/>
          <w:color w:val="000000"/>
          <w:sz w:val="32"/>
          <w:szCs w:val="32"/>
          <w:lang w:eastAsia="zh-CN"/>
        </w:rPr>
        <w:t>）</w:t>
      </w:r>
      <w:r>
        <w:rPr>
          <w:rFonts w:hint="eastAsia" w:ascii="仿宋_GB2312" w:eastAsia="仿宋_GB2312"/>
          <w:color w:val="000000"/>
          <w:sz w:val="32"/>
          <w:szCs w:val="32"/>
        </w:rPr>
        <w:t>设计业绩。”修改为“至少完成1项招标人设定的类似工程(如码头或防波堤等)设计业绩。”</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理由：放宽业绩准入条件，使更大范围的设计单位可参与竞争。</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2.P34、P41，评标办法前附表（合理低价法）中的“企业业绩”等得分项进行了调整；“渔业码头”长度业绩要求改为“码头”长度业绩要求。</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理由：调整业绩要求，从事过码头或防波堤设计的设计单位均可得分。</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P39，评标办法前附表（综合评估法）的2.2.1“分值构成”中，在商务部分总得分40分不变的基础上，将企业业绩得分由30分调减为20分，增加企业信用得分10分，拟投入本项目的设计人员经验、资格得分保持10分不变。</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理由：降低业绩得分难度，同时增加企业信用得分，提升潜在投标人的竞争性。</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放宽设计资质准入条件</w:t>
      </w:r>
      <w:r>
        <w:rPr>
          <w:rFonts w:hint="eastAsia" w:ascii="仿宋_GB2312"/>
          <w:color w:val="000000"/>
          <w:sz w:val="32"/>
          <w:szCs w:val="32"/>
          <w:lang w:eastAsia="zh-CN"/>
        </w:rPr>
        <w:t>，</w:t>
      </w:r>
      <w:r>
        <w:rPr>
          <w:rFonts w:hint="eastAsia" w:ascii="仿宋_GB2312" w:eastAsia="仿宋_GB2312"/>
          <w:color w:val="000000"/>
          <w:sz w:val="32"/>
          <w:szCs w:val="32"/>
        </w:rPr>
        <w:t>允许具有水运行业港口与航道工程</w:t>
      </w:r>
      <w:r>
        <w:rPr>
          <w:rFonts w:hint="eastAsia" w:ascii="仿宋_GB2312"/>
          <w:color w:val="000000"/>
          <w:sz w:val="32"/>
          <w:szCs w:val="32"/>
          <w:lang w:eastAsia="zh-CN"/>
        </w:rPr>
        <w:t>、</w:t>
      </w:r>
      <w:r>
        <w:rPr>
          <w:rFonts w:hint="eastAsia" w:ascii="仿宋_GB2312" w:eastAsia="仿宋_GB2312"/>
          <w:color w:val="000000"/>
          <w:sz w:val="32"/>
          <w:szCs w:val="32"/>
        </w:rPr>
        <w:t>水利行业围垦专业</w:t>
      </w:r>
      <w:r>
        <w:rPr>
          <w:rFonts w:hint="eastAsia" w:ascii="仿宋_GB2312"/>
          <w:color w:val="000000"/>
          <w:sz w:val="32"/>
          <w:szCs w:val="32"/>
          <w:lang w:eastAsia="zh-CN"/>
        </w:rPr>
        <w:t>、</w:t>
      </w:r>
      <w:r>
        <w:rPr>
          <w:rFonts w:hint="eastAsia" w:ascii="仿宋_GB2312" w:eastAsia="仿宋_GB2312"/>
          <w:color w:val="000000"/>
          <w:sz w:val="32"/>
          <w:szCs w:val="32"/>
        </w:rPr>
        <w:t>海洋行业沿海工程专业，</w:t>
      </w:r>
      <w:r>
        <w:rPr>
          <w:rFonts w:hint="eastAsia" w:ascii="仿宋_GB2312"/>
          <w:color w:val="000000"/>
          <w:sz w:val="32"/>
          <w:szCs w:val="32"/>
          <w:lang w:eastAsia="zh-CN"/>
        </w:rPr>
        <w:t>具备</w:t>
      </w:r>
      <w:r>
        <w:rPr>
          <w:rFonts w:hint="eastAsia" w:ascii="仿宋_GB2312" w:eastAsia="仿宋_GB2312"/>
          <w:color w:val="000000"/>
          <w:sz w:val="32"/>
          <w:szCs w:val="32"/>
        </w:rPr>
        <w:t>专业乙级及以上设计资质的设计单位参与渔港工程投标，2年后根据建设部《工程设计资质标准》的要求，将投标人的准入资格，按照具有农林行业（渔业/渔港）工程专业乙级及以上资质的行业资质要求执行，相关潜在投标人应及时申</w:t>
      </w:r>
      <w:r>
        <w:rPr>
          <w:rFonts w:hint="eastAsia" w:ascii="仿宋_GB2312"/>
          <w:color w:val="000000"/>
          <w:sz w:val="32"/>
          <w:szCs w:val="32"/>
          <w:lang w:eastAsia="zh-CN"/>
        </w:rPr>
        <w:t>请</w:t>
      </w:r>
      <w:r>
        <w:rPr>
          <w:rFonts w:hint="eastAsia" w:ascii="仿宋_GB2312" w:eastAsia="仿宋_GB2312"/>
          <w:color w:val="000000"/>
          <w:sz w:val="32"/>
          <w:szCs w:val="32"/>
        </w:rPr>
        <w:t>上述资质，以便获得渔港工程设计</w:t>
      </w:r>
      <w:r>
        <w:rPr>
          <w:rFonts w:hint="eastAsia" w:ascii="仿宋_GB2312"/>
          <w:color w:val="000000"/>
          <w:sz w:val="32"/>
          <w:szCs w:val="32"/>
          <w:lang w:eastAsia="zh-CN"/>
        </w:rPr>
        <w:t>从业</w:t>
      </w:r>
      <w:r>
        <w:rPr>
          <w:rFonts w:hint="eastAsia" w:ascii="仿宋_GB2312" w:eastAsia="仿宋_GB2312"/>
          <w:color w:val="000000"/>
          <w:sz w:val="32"/>
          <w:szCs w:val="32"/>
        </w:rPr>
        <w:t>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F003E"/>
    <w:multiLevelType w:val="singleLevel"/>
    <w:tmpl w:val="5EDF003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0017E"/>
    <w:rsid w:val="0A6F572B"/>
    <w:rsid w:val="1A993ECB"/>
    <w:rsid w:val="496339EA"/>
    <w:rsid w:val="6FC0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仿宋_GB2312" w:cs="Times New Roman"/>
      <w:sz w:val="32"/>
      <w:szCs w:val="24"/>
    </w:rPr>
  </w:style>
  <w:style w:type="paragraph" w:styleId="3">
    <w:name w:val="Plain Text"/>
    <w:basedOn w:val="1"/>
    <w:qFormat/>
    <w:uiPriority w:val="0"/>
    <w:rPr>
      <w:rFonts w:ascii="宋体" w:hAnsi="Courier New" w:eastAsia="宋体"/>
      <w:kern w:val="15"/>
    </w:rPr>
  </w:style>
  <w:style w:type="paragraph" w:styleId="4">
    <w:name w:val="Body Text First Indent 2"/>
    <w:basedOn w:val="2"/>
    <w:qFormat/>
    <w:uiPriority w:val="0"/>
    <w:pPr>
      <w:ind w:firstLine="420" w:firstLineChars="200"/>
    </w:pPr>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2020-06-12T03:46:00Z</dcterms:created>
  <dc:creator>张聪亮</dc:creator>
  <cp:lastModifiedBy>Administrator</cp:lastModifiedBy>
  <dcterms:modified xsi:type="dcterms:W3CDTF">2020-06-12T09:47:40Z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