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B0" w:rsidRDefault="008522F3">
      <w:pPr>
        <w:spacing w:line="560" w:lineRule="exact"/>
        <w:rPr>
          <w:rFonts w:ascii="仿宋_GB2312" w:eastAsia="仿宋_GB2312"/>
          <w:sz w:val="32"/>
          <w:szCs w:val="32"/>
        </w:rPr>
      </w:pPr>
      <w:r>
        <w:rPr>
          <w:rFonts w:ascii="仿宋_GB2312" w:eastAsia="仿宋_GB2312" w:hint="eastAsia"/>
          <w:sz w:val="32"/>
          <w:szCs w:val="32"/>
        </w:rPr>
        <w:t>附件</w:t>
      </w:r>
    </w:p>
    <w:p w:rsidR="00BA4FB0" w:rsidRDefault="00BA4FB0">
      <w:pPr>
        <w:spacing w:line="560" w:lineRule="exact"/>
        <w:rPr>
          <w:rFonts w:ascii="仿宋_GB2312" w:eastAsia="仿宋_GB2312"/>
          <w:sz w:val="32"/>
          <w:szCs w:val="32"/>
        </w:rPr>
      </w:pPr>
    </w:p>
    <w:p w:rsidR="009855A9" w:rsidRDefault="008522F3">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福建省</w:t>
      </w:r>
      <w:r w:rsidR="00317307">
        <w:rPr>
          <w:rFonts w:ascii="方正小标宋简体" w:eastAsia="方正小标宋简体" w:hint="eastAsia"/>
          <w:sz w:val="44"/>
          <w:szCs w:val="44"/>
        </w:rPr>
        <w:t>小型</w:t>
      </w:r>
      <w:r>
        <w:rPr>
          <w:rFonts w:ascii="方正小标宋简体" w:eastAsia="方正小标宋简体" w:hint="eastAsia"/>
          <w:sz w:val="44"/>
          <w:szCs w:val="44"/>
        </w:rPr>
        <w:t>海洋渔船固定式北斗示位仪</w:t>
      </w:r>
    </w:p>
    <w:p w:rsidR="00BA4FB0" w:rsidRDefault="008522F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（定位终端)建设项目实施方案</w:t>
      </w:r>
    </w:p>
    <w:p w:rsidR="00EB4660" w:rsidRDefault="00EB4660">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（公示稿）</w:t>
      </w:r>
    </w:p>
    <w:p w:rsidR="00097E82" w:rsidRDefault="00097E82" w:rsidP="008F5BE6">
      <w:pPr>
        <w:spacing w:line="560" w:lineRule="exact"/>
        <w:ind w:firstLineChars="200" w:firstLine="640"/>
        <w:rPr>
          <w:rFonts w:ascii="仿宋_GB2312" w:eastAsia="仿宋_GB2312" w:hint="eastAsia"/>
          <w:sz w:val="32"/>
          <w:szCs w:val="32"/>
        </w:rPr>
      </w:pPr>
    </w:p>
    <w:p w:rsidR="00BA4FB0" w:rsidRDefault="008522F3" w:rsidP="008F5BE6">
      <w:pPr>
        <w:spacing w:line="560" w:lineRule="exact"/>
        <w:ind w:firstLineChars="200" w:firstLine="640"/>
        <w:rPr>
          <w:rFonts w:ascii="仿宋_GB2312" w:eastAsia="仿宋_GB2312"/>
          <w:sz w:val="32"/>
          <w:szCs w:val="32"/>
        </w:rPr>
      </w:pPr>
      <w:r>
        <w:rPr>
          <w:rFonts w:ascii="仿宋_GB2312" w:eastAsia="仿宋_GB2312" w:hint="eastAsia"/>
          <w:sz w:val="32"/>
          <w:szCs w:val="32"/>
        </w:rPr>
        <w:t>为进一步贯彻落实习总书记关于安全生产的重要批示指示精神，按照农业农村部和省委省政府工作部署，根据《财政部 农业部关于调整国内渔业捕捞和养殖业油价补贴政策促进渔业持续健康发展的通知》（</w:t>
      </w:r>
      <w:proofErr w:type="gramStart"/>
      <w:r>
        <w:rPr>
          <w:rFonts w:ascii="仿宋_GB2312" w:eastAsia="仿宋_GB2312" w:hint="eastAsia"/>
          <w:sz w:val="32"/>
          <w:szCs w:val="32"/>
        </w:rPr>
        <w:t>财建〔2015〕</w:t>
      </w:r>
      <w:proofErr w:type="gramEnd"/>
      <w:r>
        <w:rPr>
          <w:rFonts w:ascii="仿宋_GB2312" w:eastAsia="仿宋_GB2312" w:hint="eastAsia"/>
          <w:sz w:val="32"/>
          <w:szCs w:val="32"/>
        </w:rPr>
        <w:t>499号）、《农业部办公厅关于印发渔业油价政策调整相关实施方案的通知》（农办渔〔2015〕65号）、《</w:t>
      </w:r>
      <w:r w:rsidR="00916AD7">
        <w:rPr>
          <w:rFonts w:ascii="仿宋_GB2312" w:eastAsia="仿宋_GB2312" w:hint="eastAsia"/>
          <w:sz w:val="32"/>
          <w:szCs w:val="32"/>
        </w:rPr>
        <w:t>财政部关于下达2019年渔业发展与船舶报废拆解更新补助资金预算的通知</w:t>
      </w:r>
      <w:r>
        <w:rPr>
          <w:rFonts w:ascii="仿宋_GB2312" w:eastAsia="仿宋_GB2312" w:hint="eastAsia"/>
          <w:sz w:val="32"/>
          <w:szCs w:val="32"/>
        </w:rPr>
        <w:t>》（</w:t>
      </w:r>
      <w:proofErr w:type="gramStart"/>
      <w:r w:rsidR="00916AD7">
        <w:rPr>
          <w:rFonts w:ascii="仿宋_GB2312" w:eastAsia="仿宋_GB2312" w:hint="eastAsia"/>
          <w:sz w:val="32"/>
          <w:szCs w:val="32"/>
        </w:rPr>
        <w:t>财建</w:t>
      </w:r>
      <w:r>
        <w:rPr>
          <w:rFonts w:ascii="仿宋_GB2312" w:eastAsia="仿宋_GB2312" w:hint="eastAsia"/>
          <w:sz w:val="32"/>
          <w:szCs w:val="32"/>
        </w:rPr>
        <w:t>〔2019〕</w:t>
      </w:r>
      <w:proofErr w:type="gramEnd"/>
      <w:r w:rsidR="00916AD7">
        <w:rPr>
          <w:rFonts w:ascii="仿宋_GB2312" w:eastAsia="仿宋_GB2312" w:hint="eastAsia"/>
          <w:sz w:val="32"/>
          <w:szCs w:val="32"/>
        </w:rPr>
        <w:t>175</w:t>
      </w:r>
      <w:r>
        <w:rPr>
          <w:rFonts w:ascii="仿宋_GB2312" w:eastAsia="仿宋_GB2312" w:hint="eastAsia"/>
          <w:sz w:val="32"/>
          <w:szCs w:val="32"/>
        </w:rPr>
        <w:t>号）等有关文件精神，特制定福建省</w:t>
      </w:r>
      <w:r w:rsidR="00317307">
        <w:rPr>
          <w:rFonts w:ascii="仿宋_GB2312" w:eastAsia="仿宋_GB2312" w:hint="eastAsia"/>
          <w:sz w:val="32"/>
          <w:szCs w:val="32"/>
        </w:rPr>
        <w:t>小型</w:t>
      </w:r>
      <w:r>
        <w:rPr>
          <w:rFonts w:ascii="仿宋_GB2312" w:eastAsia="仿宋_GB2312" w:hint="eastAsia"/>
          <w:sz w:val="32"/>
          <w:szCs w:val="32"/>
        </w:rPr>
        <w:t>海洋渔船固定式北斗示位仪（定位终端)建设项目实施方案</w:t>
      </w:r>
      <w:r w:rsidR="00CA1D8A">
        <w:rPr>
          <w:rFonts w:ascii="仿宋_GB2312" w:eastAsia="仿宋_GB2312" w:hint="eastAsia"/>
          <w:sz w:val="32"/>
          <w:szCs w:val="32"/>
        </w:rPr>
        <w:t>，现公示如下：</w:t>
      </w:r>
    </w:p>
    <w:p w:rsidR="00BA4FB0" w:rsidRDefault="008522F3" w:rsidP="008F5BE6">
      <w:pPr>
        <w:spacing w:line="560" w:lineRule="exact"/>
        <w:ind w:firstLineChars="200" w:firstLine="640"/>
        <w:rPr>
          <w:rFonts w:ascii="黑体" w:eastAsia="黑体" w:hAnsi="黑体"/>
          <w:sz w:val="32"/>
          <w:szCs w:val="32"/>
        </w:rPr>
      </w:pPr>
      <w:r>
        <w:rPr>
          <w:rFonts w:ascii="黑体" w:eastAsia="黑体" w:hAnsi="黑体" w:hint="eastAsia"/>
          <w:sz w:val="32"/>
          <w:szCs w:val="32"/>
        </w:rPr>
        <w:t>一、基础现状</w:t>
      </w:r>
    </w:p>
    <w:p w:rsidR="00BA4FB0" w:rsidRDefault="008522F3" w:rsidP="008F5BE6">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黑体" w:hint="eastAsia"/>
          <w:sz w:val="32"/>
          <w:szCs w:val="44"/>
        </w:rPr>
        <w:t>我省是海洋渔业生产大省，海洋捕捞业、海洋养殖业发达，同时也面临着严峻的安全生产挑战。目前我省纳入中国渔政指挥管理系统的海洋渔船有</w:t>
      </w:r>
      <w:r w:rsidR="00317307">
        <w:rPr>
          <w:rFonts w:ascii="仿宋_GB2312" w:eastAsia="仿宋_GB2312" w:hAnsi="黑体" w:hint="eastAsia"/>
          <w:sz w:val="32"/>
          <w:szCs w:val="44"/>
        </w:rPr>
        <w:t>14900</w:t>
      </w:r>
      <w:r>
        <w:rPr>
          <w:rFonts w:ascii="仿宋_GB2312" w:eastAsia="仿宋_GB2312" w:hAnsi="黑体" w:hint="eastAsia"/>
          <w:sz w:val="32"/>
          <w:szCs w:val="44"/>
        </w:rPr>
        <w:t>艘左右（除厦门外），包含</w:t>
      </w:r>
      <w:r w:rsidR="00317307">
        <w:rPr>
          <w:rFonts w:ascii="仿宋_GB2312" w:eastAsia="仿宋_GB2312" w:hAnsi="黑体" w:hint="eastAsia"/>
          <w:sz w:val="32"/>
          <w:szCs w:val="44"/>
        </w:rPr>
        <w:t>大中型</w:t>
      </w:r>
      <w:r>
        <w:rPr>
          <w:rFonts w:ascii="仿宋_GB2312" w:eastAsia="仿宋_GB2312" w:hAnsi="黑体" w:hint="eastAsia"/>
          <w:sz w:val="32"/>
          <w:szCs w:val="44"/>
        </w:rPr>
        <w:t>渔船7400艘、小型渔船</w:t>
      </w:r>
      <w:r w:rsidR="00317307">
        <w:rPr>
          <w:rFonts w:ascii="仿宋_GB2312" w:eastAsia="仿宋_GB2312" w:hAnsi="黑体" w:hint="eastAsia"/>
          <w:sz w:val="32"/>
          <w:szCs w:val="44"/>
        </w:rPr>
        <w:t>7500</w:t>
      </w:r>
      <w:r>
        <w:rPr>
          <w:rFonts w:ascii="仿宋_GB2312" w:eastAsia="仿宋_GB2312" w:hAnsi="黑体" w:hint="eastAsia"/>
          <w:sz w:val="32"/>
          <w:szCs w:val="44"/>
        </w:rPr>
        <w:t>艘。</w:t>
      </w:r>
      <w:r w:rsidR="0095576D" w:rsidRPr="0095576D">
        <w:rPr>
          <w:rFonts w:ascii="仿宋_GB2312" w:eastAsia="仿宋_GB2312" w:hAnsi="黑体" w:hint="eastAsia"/>
          <w:sz w:val="32"/>
          <w:szCs w:val="44"/>
        </w:rPr>
        <w:t>我省小型渔船装备的手持安全应急终端大部分为2012年前配备的具有三防功能的定制手机，至今已运行了7年，终端大部分或丢失或因各种故障不能正常使用，已直接影响渔民群众的</w:t>
      </w:r>
      <w:r w:rsidR="00916AD7">
        <w:rPr>
          <w:rFonts w:ascii="仿宋_GB2312" w:eastAsia="仿宋_GB2312" w:hAnsi="黑体" w:hint="eastAsia"/>
          <w:sz w:val="32"/>
          <w:szCs w:val="44"/>
        </w:rPr>
        <w:t>生产安全需求</w:t>
      </w:r>
      <w:r w:rsidR="0095576D" w:rsidRPr="0095576D">
        <w:rPr>
          <w:rFonts w:ascii="仿宋_GB2312" w:eastAsia="仿宋_GB2312" w:hAnsi="黑体" w:hint="eastAsia"/>
          <w:sz w:val="32"/>
          <w:szCs w:val="44"/>
        </w:rPr>
        <w:t>。由于受船舶</w:t>
      </w:r>
      <w:r w:rsidR="0095576D" w:rsidRPr="0095576D">
        <w:rPr>
          <w:rFonts w:ascii="仿宋_GB2312" w:eastAsia="仿宋_GB2312" w:hAnsi="黑体" w:hint="eastAsia"/>
          <w:sz w:val="32"/>
          <w:szCs w:val="44"/>
        </w:rPr>
        <w:lastRenderedPageBreak/>
        <w:t>电源、安装环境等诸多条件的制约，小型渔船至今未能配备其他有效的安全设备，碰撞事故等安全问题尤为突出</w:t>
      </w:r>
      <w:r w:rsidR="0095576D">
        <w:rPr>
          <w:rFonts w:ascii="仿宋_GB2312" w:eastAsia="仿宋_GB2312" w:hAnsi="黑体" w:hint="eastAsia"/>
          <w:sz w:val="32"/>
          <w:szCs w:val="44"/>
        </w:rPr>
        <w:t>，处于无法识别</w:t>
      </w:r>
      <w:r w:rsidR="00916AD7">
        <w:rPr>
          <w:rFonts w:ascii="仿宋_GB2312" w:eastAsia="仿宋_GB2312" w:hAnsi="黑体" w:hint="eastAsia"/>
          <w:sz w:val="32"/>
          <w:szCs w:val="44"/>
        </w:rPr>
        <w:t>、</w:t>
      </w:r>
      <w:r w:rsidR="0095576D">
        <w:rPr>
          <w:rFonts w:ascii="仿宋_GB2312" w:eastAsia="仿宋_GB2312" w:hAnsi="黑体" w:hint="eastAsia"/>
          <w:sz w:val="32"/>
          <w:szCs w:val="44"/>
        </w:rPr>
        <w:t>无法定位状态</w:t>
      </w:r>
      <w:r>
        <w:rPr>
          <w:rFonts w:ascii="仿宋_GB2312" w:eastAsia="仿宋_GB2312" w:hAnsi="仿宋" w:cs="仿宋_GB2312" w:hint="eastAsia"/>
          <w:color w:val="000000"/>
          <w:sz w:val="32"/>
          <w:szCs w:val="32"/>
        </w:rPr>
        <w:t>，给渔业安全生产带来较大隐患。</w:t>
      </w:r>
    </w:p>
    <w:p w:rsidR="00BA4FB0" w:rsidRDefault="008522F3" w:rsidP="008F5BE6">
      <w:pPr>
        <w:spacing w:line="560" w:lineRule="exact"/>
        <w:ind w:firstLineChars="200" w:firstLine="640"/>
        <w:rPr>
          <w:rFonts w:ascii="黑体" w:eastAsia="黑体" w:hAnsi="黑体"/>
          <w:sz w:val="32"/>
          <w:szCs w:val="32"/>
        </w:rPr>
      </w:pPr>
      <w:r>
        <w:rPr>
          <w:rFonts w:ascii="黑体" w:eastAsia="黑体" w:hAnsi="黑体" w:hint="eastAsia"/>
          <w:sz w:val="32"/>
          <w:szCs w:val="32"/>
        </w:rPr>
        <w:t>二、建设目标</w:t>
      </w:r>
    </w:p>
    <w:p w:rsidR="00BA4FB0" w:rsidRDefault="00CA1D8A" w:rsidP="008F5BE6">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44"/>
        </w:rPr>
        <w:t>为进一步加强渔船安全监管与服务，</w:t>
      </w:r>
      <w:r w:rsidR="008522F3">
        <w:rPr>
          <w:rFonts w:ascii="仿宋_GB2312" w:eastAsia="仿宋_GB2312" w:hAnsi="黑体" w:hint="eastAsia"/>
          <w:sz w:val="32"/>
          <w:szCs w:val="44"/>
        </w:rPr>
        <w:t>按照“统分结合，属地建设；急用先建，稳妥推进”的原则，为全省</w:t>
      </w:r>
      <w:r w:rsidR="008522F3">
        <w:rPr>
          <w:rFonts w:ascii="仿宋_GB2312" w:eastAsia="仿宋_GB2312" w:hAnsi="仿宋" w:cs="仿宋_GB2312" w:hint="eastAsia"/>
          <w:color w:val="000000"/>
          <w:sz w:val="32"/>
          <w:szCs w:val="32"/>
        </w:rPr>
        <w:t>共计</w:t>
      </w:r>
      <w:r w:rsidR="0095576D">
        <w:rPr>
          <w:rFonts w:ascii="仿宋_GB2312" w:eastAsia="仿宋_GB2312" w:hAnsi="仿宋" w:cs="仿宋_GB2312" w:hint="eastAsia"/>
          <w:color w:val="000000"/>
          <w:sz w:val="32"/>
          <w:szCs w:val="32"/>
        </w:rPr>
        <w:t>7500艘</w:t>
      </w:r>
      <w:r w:rsidR="00317307">
        <w:rPr>
          <w:rFonts w:ascii="仿宋_GB2312" w:eastAsia="仿宋_GB2312" w:hAnsi="黑体" w:hint="eastAsia"/>
          <w:sz w:val="32"/>
          <w:szCs w:val="44"/>
        </w:rPr>
        <w:t>小型</w:t>
      </w:r>
      <w:r w:rsidR="00EB4660">
        <w:rPr>
          <w:rFonts w:ascii="仿宋_GB2312" w:eastAsia="仿宋_GB2312" w:hAnsi="黑体" w:hint="eastAsia"/>
          <w:sz w:val="32"/>
          <w:szCs w:val="44"/>
        </w:rPr>
        <w:t>海洋</w:t>
      </w:r>
      <w:r w:rsidR="008522F3">
        <w:rPr>
          <w:rFonts w:ascii="仿宋_GB2312" w:eastAsia="仿宋_GB2312" w:hAnsi="黑体" w:hint="eastAsia"/>
          <w:sz w:val="32"/>
          <w:szCs w:val="44"/>
        </w:rPr>
        <w:t>渔船配备固定式</w:t>
      </w:r>
      <w:r w:rsidR="008522F3">
        <w:rPr>
          <w:rFonts w:ascii="仿宋_GB2312" w:eastAsia="仿宋_GB2312" w:hAnsi="黑体" w:hint="eastAsia"/>
          <w:sz w:val="32"/>
          <w:szCs w:val="32"/>
        </w:rPr>
        <w:t>北斗示位仪（定位终端)，实现“看得见”的目标，进一步促进渔业安全生产形势持续好转。</w:t>
      </w:r>
    </w:p>
    <w:p w:rsidR="00BA4FB0" w:rsidRDefault="008522F3" w:rsidP="008F5BE6">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总体进度：建设期限为</w:t>
      </w:r>
      <w:r w:rsidR="00440813">
        <w:rPr>
          <w:rFonts w:ascii="仿宋_GB2312" w:eastAsia="仿宋_GB2312" w:hAnsi="黑体" w:hint="eastAsia"/>
          <w:sz w:val="32"/>
          <w:szCs w:val="32"/>
        </w:rPr>
        <w:t>6</w:t>
      </w:r>
      <w:r>
        <w:rPr>
          <w:rFonts w:ascii="仿宋_GB2312" w:eastAsia="仿宋_GB2312" w:hAnsi="黑体" w:hint="eastAsia"/>
          <w:sz w:val="32"/>
          <w:szCs w:val="32"/>
        </w:rPr>
        <w:t>个月，从现在起到20</w:t>
      </w:r>
      <w:r w:rsidR="00916AD7">
        <w:rPr>
          <w:rFonts w:ascii="仿宋_GB2312" w:eastAsia="仿宋_GB2312" w:hAnsi="黑体" w:hint="eastAsia"/>
          <w:sz w:val="32"/>
          <w:szCs w:val="32"/>
        </w:rPr>
        <w:t>20</w:t>
      </w:r>
      <w:r>
        <w:rPr>
          <w:rFonts w:ascii="仿宋_GB2312" w:eastAsia="仿宋_GB2312" w:hAnsi="黑体" w:hint="eastAsia"/>
          <w:sz w:val="32"/>
          <w:szCs w:val="32"/>
        </w:rPr>
        <w:t>年</w:t>
      </w:r>
      <w:r w:rsidR="00916AD7">
        <w:rPr>
          <w:rFonts w:ascii="仿宋_GB2312" w:eastAsia="仿宋_GB2312" w:hAnsi="黑体" w:hint="eastAsia"/>
          <w:sz w:val="32"/>
          <w:szCs w:val="32"/>
        </w:rPr>
        <w:t>3</w:t>
      </w:r>
      <w:r>
        <w:rPr>
          <w:rFonts w:ascii="仿宋_GB2312" w:eastAsia="仿宋_GB2312" w:hAnsi="黑体" w:hint="eastAsia"/>
          <w:sz w:val="32"/>
          <w:szCs w:val="32"/>
        </w:rPr>
        <w:t>月底，为全省</w:t>
      </w:r>
      <w:r w:rsidR="0095576D">
        <w:rPr>
          <w:rFonts w:ascii="仿宋_GB2312" w:eastAsia="仿宋_GB2312" w:hAnsi="仿宋" w:cs="仿宋_GB2312" w:hint="eastAsia"/>
          <w:color w:val="000000"/>
          <w:sz w:val="32"/>
          <w:szCs w:val="32"/>
        </w:rPr>
        <w:t>7500艘</w:t>
      </w:r>
      <w:r w:rsidR="00317307">
        <w:rPr>
          <w:rFonts w:ascii="仿宋_GB2312" w:eastAsia="仿宋_GB2312" w:hAnsi="仿宋" w:cs="仿宋_GB2312" w:hint="eastAsia"/>
          <w:color w:val="000000"/>
          <w:sz w:val="32"/>
          <w:szCs w:val="32"/>
        </w:rPr>
        <w:t>小型</w:t>
      </w:r>
      <w:r w:rsidR="00EB4660">
        <w:rPr>
          <w:rFonts w:ascii="仿宋_GB2312" w:eastAsia="仿宋_GB2312" w:hAnsi="仿宋" w:cs="仿宋_GB2312" w:hint="eastAsia"/>
          <w:color w:val="000000"/>
          <w:sz w:val="32"/>
          <w:szCs w:val="32"/>
        </w:rPr>
        <w:t>海洋</w:t>
      </w:r>
      <w:r>
        <w:rPr>
          <w:rFonts w:ascii="仿宋_GB2312" w:eastAsia="仿宋_GB2312" w:hAnsi="仿宋" w:cs="仿宋_GB2312" w:hint="eastAsia"/>
          <w:color w:val="000000"/>
          <w:sz w:val="32"/>
          <w:szCs w:val="32"/>
        </w:rPr>
        <w:t>渔船配备安装固定式北斗示位仪（定位终端）。</w:t>
      </w:r>
    </w:p>
    <w:p w:rsidR="00BA4FB0" w:rsidRDefault="008522F3" w:rsidP="008F5BE6">
      <w:pPr>
        <w:spacing w:line="560" w:lineRule="exact"/>
        <w:ind w:firstLineChars="200" w:firstLine="640"/>
        <w:rPr>
          <w:rFonts w:ascii="黑体" w:eastAsia="黑体" w:hAnsi="黑体"/>
          <w:sz w:val="32"/>
          <w:szCs w:val="32"/>
        </w:rPr>
      </w:pPr>
      <w:r>
        <w:rPr>
          <w:rFonts w:ascii="黑体" w:eastAsia="黑体" w:hAnsi="黑体" w:hint="eastAsia"/>
          <w:sz w:val="32"/>
          <w:szCs w:val="32"/>
        </w:rPr>
        <w:t>三、建设及政府采购</w:t>
      </w:r>
      <w:r w:rsidR="00CA1D8A">
        <w:rPr>
          <w:rFonts w:ascii="黑体" w:eastAsia="黑体" w:hAnsi="黑体" w:hint="eastAsia"/>
          <w:sz w:val="32"/>
          <w:szCs w:val="32"/>
        </w:rPr>
        <w:t>内容</w:t>
      </w:r>
    </w:p>
    <w:p w:rsidR="0095576D" w:rsidRPr="00792411" w:rsidRDefault="00792411" w:rsidP="008F5BE6">
      <w:pPr>
        <w:spacing w:line="560" w:lineRule="exact"/>
        <w:ind w:firstLineChars="200" w:firstLine="640"/>
        <w:rPr>
          <w:rFonts w:ascii="仿宋_GB2312" w:eastAsia="仿宋_GB2312" w:hAnsi="黑体"/>
          <w:sz w:val="32"/>
          <w:szCs w:val="32"/>
        </w:rPr>
      </w:pPr>
      <w:r w:rsidRPr="00792411">
        <w:rPr>
          <w:rFonts w:ascii="仿宋_GB2312" w:eastAsia="仿宋_GB2312" w:hAnsi="黑体" w:hint="eastAsia"/>
          <w:sz w:val="32"/>
          <w:szCs w:val="32"/>
        </w:rPr>
        <w:t>㈠</w:t>
      </w:r>
      <w:r w:rsidR="00CE1999">
        <w:rPr>
          <w:rFonts w:ascii="仿宋_GB2312" w:eastAsia="仿宋_GB2312" w:hAnsi="黑体" w:hint="eastAsia"/>
          <w:sz w:val="32"/>
          <w:szCs w:val="32"/>
        </w:rPr>
        <w:t>设备采购。</w:t>
      </w:r>
      <w:r w:rsidR="008522F3" w:rsidRPr="00792411">
        <w:rPr>
          <w:rFonts w:ascii="仿宋_GB2312" w:eastAsia="仿宋_GB2312" w:hAnsi="黑体" w:hint="eastAsia"/>
          <w:sz w:val="32"/>
          <w:szCs w:val="32"/>
        </w:rPr>
        <w:t>为全省</w:t>
      </w:r>
      <w:r w:rsidR="0095576D" w:rsidRPr="00792411">
        <w:rPr>
          <w:rFonts w:ascii="仿宋_GB2312" w:eastAsia="仿宋_GB2312" w:hAnsi="仿宋" w:cs="仿宋_GB2312" w:hint="eastAsia"/>
          <w:color w:val="000000"/>
          <w:sz w:val="32"/>
          <w:szCs w:val="32"/>
        </w:rPr>
        <w:t>7500艘</w:t>
      </w:r>
      <w:r w:rsidR="00317307" w:rsidRPr="00792411">
        <w:rPr>
          <w:rFonts w:ascii="仿宋_GB2312" w:eastAsia="仿宋_GB2312" w:hAnsi="黑体" w:hint="eastAsia"/>
          <w:sz w:val="32"/>
          <w:szCs w:val="32"/>
        </w:rPr>
        <w:t>小型</w:t>
      </w:r>
      <w:r w:rsidR="008522F3" w:rsidRPr="00792411">
        <w:rPr>
          <w:rFonts w:ascii="仿宋_GB2312" w:eastAsia="仿宋_GB2312" w:hAnsi="黑体" w:hint="eastAsia"/>
          <w:sz w:val="32"/>
          <w:szCs w:val="32"/>
        </w:rPr>
        <w:t>渔船装备固定式北斗示位仪（定位终端)，具体以实际安装数为准。</w:t>
      </w:r>
    </w:p>
    <w:p w:rsidR="0095576D" w:rsidRPr="00792411" w:rsidRDefault="00792411" w:rsidP="008F5BE6">
      <w:pPr>
        <w:spacing w:line="560" w:lineRule="exact"/>
        <w:ind w:firstLineChars="200" w:firstLine="640"/>
        <w:rPr>
          <w:rFonts w:ascii="仿宋_GB2312" w:eastAsia="仿宋_GB2312" w:hAnsi="黑体"/>
          <w:sz w:val="32"/>
          <w:szCs w:val="32"/>
        </w:rPr>
      </w:pPr>
      <w:r w:rsidRPr="00792411">
        <w:rPr>
          <w:rFonts w:ascii="仿宋_GB2312" w:eastAsia="仿宋_GB2312" w:hAnsi="黑体" w:hint="eastAsia"/>
          <w:sz w:val="32"/>
          <w:szCs w:val="32"/>
        </w:rPr>
        <w:t>㈡</w:t>
      </w:r>
      <w:r w:rsidR="00CE1999">
        <w:rPr>
          <w:rFonts w:ascii="仿宋_GB2312" w:eastAsia="仿宋_GB2312" w:hAnsi="黑体" w:hint="eastAsia"/>
          <w:sz w:val="32"/>
          <w:szCs w:val="32"/>
        </w:rPr>
        <w:t>数据服务采购。</w:t>
      </w:r>
      <w:r w:rsidR="0095576D" w:rsidRPr="00792411">
        <w:rPr>
          <w:rFonts w:ascii="仿宋_GB2312" w:eastAsia="仿宋_GB2312" w:hAnsi="黑体" w:hint="eastAsia"/>
          <w:sz w:val="32"/>
          <w:szCs w:val="32"/>
        </w:rPr>
        <w:t>采购</w:t>
      </w:r>
      <w:r w:rsidRPr="00792411">
        <w:rPr>
          <w:rFonts w:ascii="仿宋_GB2312" w:eastAsia="仿宋_GB2312" w:hAnsi="黑体" w:hint="eastAsia"/>
          <w:sz w:val="32"/>
          <w:szCs w:val="32"/>
        </w:rPr>
        <w:t>交通运输部东海航海保障中心福州航标处在福建沿海岸站</w:t>
      </w:r>
      <w:r w:rsidR="0095576D" w:rsidRPr="00792411">
        <w:rPr>
          <w:rFonts w:ascii="仿宋_GB2312" w:eastAsia="仿宋_GB2312" w:hAnsi="黑体" w:hint="eastAsia"/>
          <w:sz w:val="32"/>
          <w:szCs w:val="32"/>
        </w:rPr>
        <w:t>的</w:t>
      </w:r>
      <w:r w:rsidR="005F06FC" w:rsidRPr="00792411">
        <w:rPr>
          <w:rFonts w:ascii="仿宋_GB2312" w:eastAsia="仿宋_GB2312" w:hAnsi="黑体" w:hint="eastAsia"/>
          <w:sz w:val="32"/>
          <w:szCs w:val="32"/>
        </w:rPr>
        <w:t>A</w:t>
      </w:r>
      <w:r w:rsidR="005F06FC" w:rsidRPr="00792411">
        <w:rPr>
          <w:rFonts w:ascii="仿宋_GB2312" w:eastAsia="仿宋_GB2312" w:hAnsi="黑体"/>
          <w:sz w:val="32"/>
          <w:szCs w:val="32"/>
        </w:rPr>
        <w:t>IS</w:t>
      </w:r>
      <w:r w:rsidR="005F06FC" w:rsidRPr="00792411">
        <w:rPr>
          <w:rFonts w:ascii="仿宋_GB2312" w:eastAsia="仿宋_GB2312" w:hAnsi="黑体" w:hint="eastAsia"/>
          <w:sz w:val="32"/>
          <w:szCs w:val="32"/>
        </w:rPr>
        <w:t>数据服务费，</w:t>
      </w:r>
      <w:proofErr w:type="gramStart"/>
      <w:r w:rsidRPr="00792411">
        <w:rPr>
          <w:rFonts w:ascii="仿宋_GB2312" w:eastAsia="仿宋_GB2312" w:hAnsi="黑体" w:hint="eastAsia"/>
          <w:sz w:val="32"/>
          <w:szCs w:val="32"/>
        </w:rPr>
        <w:t>含试点</w:t>
      </w:r>
      <w:proofErr w:type="gramEnd"/>
      <w:r w:rsidR="005F06FC" w:rsidRPr="00792411">
        <w:rPr>
          <w:rFonts w:ascii="仿宋_GB2312" w:eastAsia="仿宋_GB2312" w:hAnsi="黑体" w:hint="eastAsia"/>
          <w:sz w:val="32"/>
          <w:szCs w:val="32"/>
        </w:rPr>
        <w:t>天基A</w:t>
      </w:r>
      <w:r w:rsidR="005F06FC" w:rsidRPr="00792411">
        <w:rPr>
          <w:rFonts w:ascii="仿宋_GB2312" w:eastAsia="仿宋_GB2312" w:hAnsi="黑体"/>
          <w:sz w:val="32"/>
          <w:szCs w:val="32"/>
        </w:rPr>
        <w:t>IS</w:t>
      </w:r>
      <w:r w:rsidR="005F06FC" w:rsidRPr="00792411">
        <w:rPr>
          <w:rFonts w:ascii="仿宋_GB2312" w:eastAsia="仿宋_GB2312" w:hAnsi="黑体" w:hint="eastAsia"/>
          <w:sz w:val="32"/>
          <w:szCs w:val="32"/>
        </w:rPr>
        <w:t>数据服务费以及相关的链路专线费。</w:t>
      </w:r>
    </w:p>
    <w:p w:rsidR="0095576D" w:rsidRPr="00792411" w:rsidRDefault="00792411" w:rsidP="008F5BE6">
      <w:pPr>
        <w:spacing w:line="560" w:lineRule="exact"/>
        <w:ind w:firstLineChars="200" w:firstLine="640"/>
        <w:rPr>
          <w:rFonts w:ascii="仿宋_GB2312" w:eastAsia="仿宋_GB2312" w:hAnsi="仿宋" w:cs="仿宋_GB2312"/>
          <w:color w:val="000000"/>
          <w:sz w:val="32"/>
          <w:szCs w:val="32"/>
        </w:rPr>
      </w:pPr>
      <w:r w:rsidRPr="00792411">
        <w:rPr>
          <w:rFonts w:ascii="仿宋_GB2312" w:eastAsia="仿宋_GB2312" w:hAnsi="仿宋" w:cs="仿宋_GB2312" w:hint="eastAsia"/>
          <w:color w:val="000000"/>
          <w:sz w:val="32"/>
          <w:szCs w:val="32"/>
        </w:rPr>
        <w:t>㈢</w:t>
      </w:r>
      <w:r w:rsidR="00CE1999">
        <w:rPr>
          <w:rFonts w:ascii="仿宋_GB2312" w:eastAsia="仿宋_GB2312" w:hAnsi="仿宋" w:cs="仿宋_GB2312" w:hint="eastAsia"/>
          <w:color w:val="000000"/>
          <w:sz w:val="32"/>
          <w:szCs w:val="32"/>
        </w:rPr>
        <w:t>软件对接采购。</w:t>
      </w:r>
      <w:r w:rsidR="0095576D" w:rsidRPr="00792411">
        <w:rPr>
          <w:rFonts w:ascii="仿宋_GB2312" w:eastAsia="仿宋_GB2312" w:hAnsi="仿宋" w:cs="仿宋_GB2312" w:hint="eastAsia"/>
          <w:color w:val="000000"/>
          <w:sz w:val="32"/>
          <w:szCs w:val="32"/>
        </w:rPr>
        <w:t>福建省海洋渔业安全应急指挥决策支持系统相关接口</w:t>
      </w:r>
      <w:r w:rsidR="005F06FC" w:rsidRPr="00792411">
        <w:rPr>
          <w:rFonts w:ascii="仿宋_GB2312" w:eastAsia="仿宋_GB2312" w:hAnsi="仿宋" w:cs="仿宋_GB2312" w:hint="eastAsia"/>
          <w:color w:val="000000"/>
          <w:sz w:val="32"/>
          <w:szCs w:val="32"/>
        </w:rPr>
        <w:t>对接</w:t>
      </w:r>
      <w:r w:rsidR="0095576D" w:rsidRPr="00792411">
        <w:rPr>
          <w:rFonts w:ascii="仿宋_GB2312" w:eastAsia="仿宋_GB2312" w:hAnsi="仿宋" w:cs="仿宋_GB2312" w:hint="eastAsia"/>
          <w:color w:val="000000"/>
          <w:sz w:val="32"/>
          <w:szCs w:val="32"/>
        </w:rPr>
        <w:t>，扩展互联网数据接口，</w:t>
      </w:r>
      <w:r w:rsidR="005F06FC" w:rsidRPr="00792411">
        <w:rPr>
          <w:rFonts w:ascii="仿宋_GB2312" w:eastAsia="仿宋_GB2312" w:hAnsi="仿宋" w:cs="仿宋_GB2312" w:hint="eastAsia"/>
          <w:color w:val="000000"/>
          <w:sz w:val="32"/>
          <w:szCs w:val="32"/>
        </w:rPr>
        <w:t>改造数据库结构，</w:t>
      </w:r>
      <w:r w:rsidR="0095576D" w:rsidRPr="00792411">
        <w:rPr>
          <w:rFonts w:ascii="仿宋_GB2312" w:eastAsia="仿宋_GB2312" w:hAnsi="仿宋" w:cs="仿宋_GB2312" w:hint="eastAsia"/>
          <w:color w:val="000000"/>
          <w:sz w:val="32"/>
          <w:szCs w:val="32"/>
        </w:rPr>
        <w:t>支持新增</w:t>
      </w:r>
      <w:r w:rsidR="005F06FC" w:rsidRPr="00792411">
        <w:rPr>
          <w:rFonts w:ascii="仿宋_GB2312" w:eastAsia="仿宋_GB2312" w:hAnsi="仿宋" w:cs="仿宋_GB2312" w:hint="eastAsia"/>
          <w:color w:val="000000"/>
          <w:sz w:val="32"/>
          <w:szCs w:val="32"/>
        </w:rPr>
        <w:t>小型海洋渔船</w:t>
      </w:r>
      <w:r w:rsidR="0095576D" w:rsidRPr="00792411">
        <w:rPr>
          <w:rFonts w:ascii="仿宋_GB2312" w:eastAsia="仿宋_GB2312" w:hAnsi="仿宋" w:cs="仿宋_GB2312" w:hint="eastAsia"/>
          <w:color w:val="000000"/>
          <w:sz w:val="32"/>
          <w:szCs w:val="32"/>
        </w:rPr>
        <w:t>北斗示位仪（定位终端）的数据回传、防拆卸、链路中断、低电量等告警功能，升级信息安全保障系统。</w:t>
      </w:r>
    </w:p>
    <w:p w:rsidR="00CA1D8A" w:rsidRPr="00792411" w:rsidRDefault="00792411" w:rsidP="008F5BE6">
      <w:pPr>
        <w:spacing w:line="560" w:lineRule="exact"/>
        <w:ind w:firstLineChars="200" w:firstLine="640"/>
        <w:rPr>
          <w:rFonts w:ascii="仿宋_GB2312" w:eastAsia="仿宋_GB2312" w:hAnsi="仿宋" w:cs="仿宋_GB2312"/>
          <w:color w:val="000000"/>
          <w:sz w:val="32"/>
          <w:szCs w:val="32"/>
        </w:rPr>
      </w:pPr>
      <w:r w:rsidRPr="00792411">
        <w:rPr>
          <w:rFonts w:ascii="仿宋_GB2312" w:eastAsia="仿宋_GB2312" w:hAnsi="仿宋" w:cs="仿宋_GB2312" w:hint="eastAsia"/>
          <w:color w:val="000000"/>
          <w:sz w:val="32"/>
          <w:szCs w:val="32"/>
        </w:rPr>
        <w:t>㈣</w:t>
      </w:r>
      <w:r w:rsidR="00CA1D8A" w:rsidRPr="00792411">
        <w:rPr>
          <w:rFonts w:ascii="仿宋_GB2312" w:eastAsia="仿宋_GB2312" w:hAnsi="仿宋" w:cs="仿宋_GB2312" w:hint="eastAsia"/>
          <w:color w:val="000000"/>
          <w:sz w:val="32"/>
          <w:szCs w:val="32"/>
        </w:rPr>
        <w:t>监理服务</w:t>
      </w:r>
      <w:r w:rsidR="00CE1999">
        <w:rPr>
          <w:rFonts w:ascii="仿宋_GB2312" w:eastAsia="仿宋_GB2312" w:hAnsi="仿宋" w:cs="仿宋_GB2312" w:hint="eastAsia"/>
          <w:color w:val="000000"/>
          <w:sz w:val="32"/>
          <w:szCs w:val="32"/>
        </w:rPr>
        <w:t>采购。</w:t>
      </w:r>
    </w:p>
    <w:p w:rsidR="00BA4FB0" w:rsidRDefault="008522F3" w:rsidP="008F5BE6">
      <w:pPr>
        <w:spacing w:line="560" w:lineRule="exact"/>
        <w:ind w:firstLineChars="200" w:firstLine="640"/>
        <w:rPr>
          <w:rFonts w:ascii="黑体" w:eastAsia="黑体" w:hAnsi="黑体"/>
          <w:sz w:val="32"/>
          <w:szCs w:val="32"/>
        </w:rPr>
      </w:pPr>
      <w:r>
        <w:rPr>
          <w:rFonts w:ascii="黑体" w:eastAsia="黑体" w:hAnsi="黑体" w:hint="eastAsia"/>
          <w:sz w:val="32"/>
          <w:szCs w:val="32"/>
        </w:rPr>
        <w:t>四、北斗示位仪（定位终端）主要指标</w:t>
      </w:r>
    </w:p>
    <w:p w:rsidR="00BA4FB0" w:rsidRDefault="008522F3" w:rsidP="008F5BE6">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㈠合</w:t>
      </w:r>
      <w:proofErr w:type="gramStart"/>
      <w:r>
        <w:rPr>
          <w:rFonts w:ascii="楷体_GB2312" w:eastAsia="楷体_GB2312" w:hAnsi="黑体" w:hint="eastAsia"/>
          <w:b/>
          <w:sz w:val="32"/>
          <w:szCs w:val="32"/>
        </w:rPr>
        <w:t>规</w:t>
      </w:r>
      <w:proofErr w:type="gramEnd"/>
      <w:r>
        <w:rPr>
          <w:rFonts w:ascii="楷体_GB2312" w:eastAsia="楷体_GB2312" w:hAnsi="黑体" w:hint="eastAsia"/>
          <w:b/>
          <w:sz w:val="32"/>
          <w:szCs w:val="32"/>
        </w:rPr>
        <w:t>要求</w:t>
      </w:r>
    </w:p>
    <w:p w:rsidR="00BA4FB0" w:rsidRDefault="00097E82" w:rsidP="00097E82">
      <w:pPr>
        <w:spacing w:line="560" w:lineRule="exact"/>
        <w:ind w:firstLineChars="100" w:firstLine="320"/>
        <w:rPr>
          <w:rFonts w:ascii="仿宋_GB2312" w:eastAsia="仿宋_GB2312" w:hAnsi="黑体"/>
          <w:sz w:val="32"/>
          <w:szCs w:val="32"/>
        </w:rPr>
      </w:pPr>
      <w:r w:rsidRPr="00792411">
        <w:rPr>
          <w:rFonts w:ascii="仿宋_GB2312" w:eastAsia="仿宋_GB2312" w:hAnsi="黑体" w:hint="eastAsia"/>
          <w:sz w:val="32"/>
          <w:szCs w:val="32"/>
        </w:rPr>
        <w:lastRenderedPageBreak/>
        <w:t>★</w:t>
      </w:r>
      <w:r w:rsidR="00792411">
        <w:rPr>
          <w:rFonts w:ascii="仿宋_GB2312" w:eastAsia="仿宋_GB2312" w:hAnsi="黑体" w:hint="eastAsia"/>
          <w:sz w:val="32"/>
          <w:szCs w:val="32"/>
        </w:rPr>
        <w:t>1</w:t>
      </w:r>
      <w:r w:rsidR="008522F3">
        <w:rPr>
          <w:rFonts w:ascii="仿宋_GB2312" w:eastAsia="仿宋_GB2312" w:hAnsi="黑体" w:hint="eastAsia"/>
          <w:sz w:val="32"/>
          <w:szCs w:val="32"/>
        </w:rPr>
        <w:t>.</w:t>
      </w:r>
      <w:r w:rsidR="00792411" w:rsidRPr="00792411">
        <w:rPr>
          <w:rFonts w:ascii="仿宋_GB2312" w:eastAsia="仿宋_GB2312" w:hAnsi="黑体" w:hint="eastAsia"/>
          <w:sz w:val="32"/>
          <w:szCs w:val="32"/>
        </w:rPr>
        <w:t>投标人须提供投标设备的船用产品型式认可证书。</w:t>
      </w:r>
    </w:p>
    <w:p w:rsidR="00BA4FB0" w:rsidRDefault="00792411" w:rsidP="008F5BE6">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008522F3">
        <w:rPr>
          <w:rFonts w:ascii="仿宋_GB2312" w:eastAsia="仿宋_GB2312" w:hAnsi="黑体" w:hint="eastAsia"/>
          <w:sz w:val="32"/>
          <w:szCs w:val="32"/>
        </w:rPr>
        <w:t>.已在船上成规模或批量使用的终端设备，</w:t>
      </w:r>
      <w:r w:rsidR="00CA1D8A">
        <w:rPr>
          <w:rFonts w:ascii="仿宋_GB2312" w:eastAsia="仿宋_GB2312" w:hAnsi="黑体" w:hint="eastAsia"/>
          <w:sz w:val="32"/>
          <w:szCs w:val="32"/>
        </w:rPr>
        <w:t>投标人</w:t>
      </w:r>
      <w:r w:rsidR="008522F3">
        <w:rPr>
          <w:rFonts w:ascii="仿宋_GB2312" w:eastAsia="仿宋_GB2312" w:hAnsi="黑体" w:hint="eastAsia"/>
          <w:sz w:val="32"/>
          <w:szCs w:val="32"/>
        </w:rPr>
        <w:t>需提供订单合同或中标通知书等证明材料，否则视为新设备；新设备需提供</w:t>
      </w:r>
      <w:r w:rsidR="00CA1D8A">
        <w:rPr>
          <w:rFonts w:ascii="仿宋_GB2312" w:eastAsia="仿宋_GB2312" w:hAnsi="黑体" w:hint="eastAsia"/>
          <w:sz w:val="32"/>
          <w:szCs w:val="32"/>
        </w:rPr>
        <w:t>县级以上渔业行政主管部门出具的</w:t>
      </w:r>
      <w:r w:rsidR="008522F3">
        <w:rPr>
          <w:rFonts w:ascii="仿宋_GB2312" w:eastAsia="仿宋_GB2312" w:hAnsi="黑体" w:hint="eastAsia"/>
          <w:sz w:val="32"/>
          <w:szCs w:val="32"/>
        </w:rPr>
        <w:t>实船测试证明。</w:t>
      </w:r>
    </w:p>
    <w:p w:rsidR="00BA4FB0" w:rsidRDefault="00792411" w:rsidP="008F5BE6">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sidR="008522F3">
        <w:rPr>
          <w:rFonts w:ascii="仿宋_GB2312" w:eastAsia="仿宋_GB2312" w:hAnsi="黑体" w:hint="eastAsia"/>
          <w:sz w:val="32"/>
          <w:szCs w:val="32"/>
        </w:rPr>
        <w:t>.</w:t>
      </w:r>
      <w:r w:rsidR="00097E82">
        <w:rPr>
          <w:rFonts w:ascii="仿宋_GB2312" w:eastAsia="仿宋_GB2312" w:hAnsi="黑体" w:hint="eastAsia"/>
          <w:sz w:val="32"/>
          <w:szCs w:val="32"/>
        </w:rPr>
        <w:t>符合国家、地方渔业及</w:t>
      </w:r>
      <w:r w:rsidR="008522F3">
        <w:rPr>
          <w:rFonts w:ascii="仿宋_GB2312" w:eastAsia="仿宋_GB2312" w:hAnsi="黑体" w:hint="eastAsia"/>
          <w:sz w:val="32"/>
          <w:szCs w:val="32"/>
        </w:rPr>
        <w:t>信息化主管部门有关法律法规要求。</w:t>
      </w:r>
    </w:p>
    <w:p w:rsidR="00BA4FB0" w:rsidRDefault="008522F3" w:rsidP="008F5BE6">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㈡价格要求</w:t>
      </w:r>
    </w:p>
    <w:p w:rsidR="00BA4FB0" w:rsidRDefault="008522F3" w:rsidP="008F5BE6">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终端产品最高限价</w:t>
      </w:r>
      <w:r w:rsidR="006B56AC">
        <w:rPr>
          <w:rFonts w:ascii="仿宋_GB2312" w:eastAsia="仿宋_GB2312" w:hAnsi="黑体"/>
          <w:sz w:val="32"/>
          <w:szCs w:val="32"/>
        </w:rPr>
        <w:t>288</w:t>
      </w:r>
      <w:r>
        <w:rPr>
          <w:rFonts w:ascii="仿宋_GB2312" w:eastAsia="仿宋_GB2312" w:hAnsi="黑体" w:hint="eastAsia"/>
          <w:sz w:val="32"/>
          <w:szCs w:val="32"/>
        </w:rPr>
        <w:t>0元。</w:t>
      </w:r>
    </w:p>
    <w:p w:rsidR="00BA4FB0" w:rsidRDefault="008522F3" w:rsidP="008F5BE6">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㈢技术要求</w:t>
      </w:r>
    </w:p>
    <w:p w:rsidR="00BA4FB0" w:rsidRDefault="008522F3" w:rsidP="008F5BE6">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技术方面突出“位置服务”这一核心功能，以满足位置服务和海上环境兼容的需求为出发点，确定以下主要技术要求，其中“</w:t>
      </w:r>
      <w:r w:rsidR="00792411" w:rsidRPr="00792411">
        <w:rPr>
          <w:rFonts w:ascii="仿宋_GB2312" w:eastAsia="仿宋_GB2312" w:hAnsi="黑体" w:hint="eastAsia"/>
          <w:sz w:val="32"/>
          <w:szCs w:val="32"/>
        </w:rPr>
        <w:t>★</w:t>
      </w:r>
      <w:r>
        <w:rPr>
          <w:rFonts w:ascii="仿宋_GB2312" w:eastAsia="仿宋_GB2312" w:hAnsi="黑体" w:hint="eastAsia"/>
          <w:sz w:val="32"/>
          <w:szCs w:val="32"/>
        </w:rPr>
        <w:t>”表示核心要求。</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★1</w:t>
      </w:r>
      <w:r>
        <w:rPr>
          <w:rFonts w:ascii="仿宋_GB2312" w:eastAsia="仿宋_GB2312" w:hAnsi="黑体" w:hint="eastAsia"/>
          <w:sz w:val="32"/>
          <w:szCs w:val="32"/>
        </w:rPr>
        <w:t>.</w:t>
      </w:r>
      <w:r w:rsidRPr="00792411">
        <w:rPr>
          <w:rFonts w:ascii="仿宋_GB2312" w:eastAsia="仿宋_GB2312" w:hAnsi="黑体" w:hint="eastAsia"/>
          <w:sz w:val="32"/>
          <w:szCs w:val="32"/>
        </w:rPr>
        <w:t>定位</w:t>
      </w:r>
    </w:p>
    <w:p w:rsidR="00792411" w:rsidRPr="00792411" w:rsidRDefault="00792411" w:rsidP="008F5BE6">
      <w:pPr>
        <w:spacing w:line="56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(1)</w:t>
      </w:r>
      <w:r w:rsidRPr="00792411">
        <w:rPr>
          <w:rFonts w:ascii="仿宋_GB2312" w:eastAsia="仿宋_GB2312" w:hAnsi="黑体" w:hint="eastAsia"/>
          <w:sz w:val="32"/>
          <w:szCs w:val="32"/>
        </w:rPr>
        <w:t>能利用北斗卫星导航系统确定船舶位置。</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(2)支持通过要求终端进行北斗定位并上报。</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(3)定位误差：≤15m。</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★2</w:t>
      </w:r>
      <w:r>
        <w:rPr>
          <w:rFonts w:ascii="仿宋_GB2312" w:eastAsia="仿宋_GB2312" w:hAnsi="黑体" w:hint="eastAsia"/>
          <w:sz w:val="32"/>
          <w:szCs w:val="32"/>
        </w:rPr>
        <w:t>.</w:t>
      </w:r>
      <w:r w:rsidRPr="00792411">
        <w:rPr>
          <w:rFonts w:ascii="仿宋_GB2312" w:eastAsia="仿宋_GB2312" w:hAnsi="黑体" w:hint="eastAsia"/>
          <w:sz w:val="32"/>
          <w:szCs w:val="32"/>
        </w:rPr>
        <w:t>自供电</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在不外接电源情况下，依托内置电池实现自主供电，持续工作时间＞5年。</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★3</w:t>
      </w:r>
      <w:r>
        <w:rPr>
          <w:rFonts w:ascii="仿宋_GB2312" w:eastAsia="仿宋_GB2312" w:hAnsi="黑体" w:hint="eastAsia"/>
          <w:sz w:val="32"/>
          <w:szCs w:val="32"/>
        </w:rPr>
        <w:t>.</w:t>
      </w:r>
      <w:r w:rsidRPr="00792411">
        <w:rPr>
          <w:rFonts w:ascii="仿宋_GB2312" w:eastAsia="仿宋_GB2312" w:hAnsi="黑体" w:hint="eastAsia"/>
          <w:sz w:val="32"/>
          <w:szCs w:val="32"/>
        </w:rPr>
        <w:t>报警</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(1)拆卸报警</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终端被违规拆卸时，能自动按照设定信息向岸上管理平台发送报警信息。</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lastRenderedPageBreak/>
        <w:t>(2)一键报警</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支持一键报警。</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★4</w:t>
      </w:r>
      <w:r>
        <w:rPr>
          <w:rFonts w:ascii="仿宋_GB2312" w:eastAsia="仿宋_GB2312" w:hAnsi="黑体" w:hint="eastAsia"/>
          <w:sz w:val="32"/>
          <w:szCs w:val="32"/>
        </w:rPr>
        <w:t>.</w:t>
      </w:r>
      <w:r w:rsidRPr="00792411">
        <w:rPr>
          <w:rFonts w:ascii="仿宋_GB2312" w:eastAsia="仿宋_GB2312" w:hAnsi="黑体" w:hint="eastAsia"/>
          <w:sz w:val="32"/>
          <w:szCs w:val="32"/>
        </w:rPr>
        <w:t>电磁兼容要求</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符合SC/T7002.14或GD22-2015的有关规定。</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★5</w:t>
      </w:r>
      <w:r>
        <w:rPr>
          <w:rFonts w:ascii="仿宋_GB2312" w:eastAsia="仿宋_GB2312" w:hAnsi="黑体" w:hint="eastAsia"/>
          <w:sz w:val="32"/>
          <w:szCs w:val="32"/>
        </w:rPr>
        <w:t>.</w:t>
      </w:r>
      <w:r w:rsidRPr="00792411">
        <w:rPr>
          <w:rFonts w:ascii="仿宋_GB2312" w:eastAsia="仿宋_GB2312" w:hAnsi="黑体" w:hint="eastAsia"/>
          <w:sz w:val="32"/>
          <w:szCs w:val="32"/>
        </w:rPr>
        <w:t>三防</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三防等级不低于IP67。</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★6.AIS通信</w:t>
      </w:r>
    </w:p>
    <w:p w:rsidR="00792411" w:rsidRPr="00792411" w:rsidRDefault="00792411" w:rsidP="008F5BE6">
      <w:pPr>
        <w:spacing w:line="56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(1)</w:t>
      </w:r>
      <w:r w:rsidRPr="00792411">
        <w:rPr>
          <w:rFonts w:ascii="仿宋_GB2312" w:eastAsia="仿宋_GB2312" w:hAnsi="黑体" w:hint="eastAsia"/>
          <w:sz w:val="32"/>
          <w:szCs w:val="32"/>
        </w:rPr>
        <w:t>频率范围156.025-162.025MHz；</w:t>
      </w:r>
    </w:p>
    <w:p w:rsidR="00792411" w:rsidRPr="00792411" w:rsidRDefault="00792411" w:rsidP="008F5BE6">
      <w:pPr>
        <w:spacing w:line="56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(2)</w:t>
      </w:r>
      <w:r w:rsidR="00977BD9">
        <w:rPr>
          <w:rFonts w:ascii="仿宋_GB2312" w:eastAsia="仿宋_GB2312" w:hAnsi="黑体" w:hint="eastAsia"/>
          <w:sz w:val="32"/>
          <w:szCs w:val="32"/>
        </w:rPr>
        <w:t>采用CSTDMA协议，</w:t>
      </w:r>
      <w:r w:rsidR="00097E82">
        <w:rPr>
          <w:rFonts w:ascii="仿宋_GB2312" w:eastAsia="仿宋_GB2312" w:hAnsi="黑体" w:hint="eastAsia"/>
          <w:sz w:val="32"/>
          <w:szCs w:val="32"/>
        </w:rPr>
        <w:t>额定</w:t>
      </w:r>
      <w:r w:rsidRPr="00792411">
        <w:rPr>
          <w:rFonts w:ascii="仿宋_GB2312" w:eastAsia="仿宋_GB2312" w:hAnsi="黑体" w:hint="eastAsia"/>
          <w:sz w:val="32"/>
          <w:szCs w:val="32"/>
        </w:rPr>
        <w:t>输出功率33dBm(2W)；</w:t>
      </w:r>
    </w:p>
    <w:p w:rsidR="00792411" w:rsidRPr="00792411" w:rsidRDefault="00792411" w:rsidP="008F5BE6">
      <w:pPr>
        <w:spacing w:line="56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(3)</w:t>
      </w:r>
      <w:r w:rsidRPr="00792411">
        <w:rPr>
          <w:rFonts w:ascii="仿宋_GB2312" w:eastAsia="仿宋_GB2312" w:hAnsi="黑体" w:hint="eastAsia"/>
          <w:sz w:val="32"/>
          <w:szCs w:val="32"/>
        </w:rPr>
        <w:t>接收灵敏度不低于-107dBm，</w:t>
      </w:r>
      <w:proofErr w:type="gramStart"/>
      <w:r w:rsidRPr="00792411">
        <w:rPr>
          <w:rFonts w:ascii="仿宋_GB2312" w:eastAsia="仿宋_GB2312" w:hAnsi="黑体" w:hint="eastAsia"/>
          <w:sz w:val="32"/>
          <w:szCs w:val="32"/>
        </w:rPr>
        <w:t>误包率</w:t>
      </w:r>
      <w:proofErr w:type="gramEnd"/>
      <w:r w:rsidRPr="00792411">
        <w:rPr>
          <w:rFonts w:ascii="仿宋_GB2312" w:eastAsia="仿宋_GB2312" w:hAnsi="黑体" w:hint="eastAsia"/>
          <w:sz w:val="32"/>
          <w:szCs w:val="32"/>
        </w:rPr>
        <w:t>不大于20%；</w:t>
      </w:r>
    </w:p>
    <w:p w:rsidR="00792411" w:rsidRPr="00792411" w:rsidRDefault="00792411" w:rsidP="008F5BE6">
      <w:pPr>
        <w:spacing w:line="56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(4)</w:t>
      </w:r>
      <w:r w:rsidRPr="00792411">
        <w:rPr>
          <w:rFonts w:ascii="仿宋_GB2312" w:eastAsia="仿宋_GB2312" w:hAnsi="黑体" w:hint="eastAsia"/>
          <w:sz w:val="32"/>
          <w:szCs w:val="32"/>
        </w:rPr>
        <w:t>其他相关指标需满足AIS终端规范，详见《渔业船舶无线电通信、航行及信号设备配备要求》（SC/T8012-2011）、《渔业船舶自动识别系统B类船载设备技术要求》（SC/T8145-2011）和《船载自动识别系统（AIS）技术要求》（GB/T20068-2017）。</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7.移动通信网通信</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支持通过移动通信网传输的航行数据、设备状态数据等信息。需满足设备进网许可要求，满足近海海域覆盖需求。传输频率：出港航行时，</w:t>
      </w:r>
      <w:r w:rsidR="00097E82">
        <w:rPr>
          <w:rFonts w:ascii="仿宋_GB2312" w:eastAsia="仿宋_GB2312" w:hAnsi="黑体" w:hint="eastAsia"/>
          <w:sz w:val="32"/>
          <w:szCs w:val="32"/>
        </w:rPr>
        <w:t>每6分钟通信1次</w:t>
      </w:r>
      <w:r w:rsidRPr="00792411">
        <w:rPr>
          <w:rFonts w:ascii="仿宋_GB2312" w:eastAsia="仿宋_GB2312" w:hAnsi="黑体" w:hint="eastAsia"/>
          <w:sz w:val="32"/>
          <w:szCs w:val="32"/>
        </w:rPr>
        <w:t>；靠港航行时，</w:t>
      </w:r>
      <w:r w:rsidR="00097E82">
        <w:rPr>
          <w:rFonts w:ascii="仿宋_GB2312" w:eastAsia="仿宋_GB2312" w:hAnsi="黑体" w:hint="eastAsia"/>
          <w:sz w:val="32"/>
          <w:szCs w:val="32"/>
        </w:rPr>
        <w:t>每15分钟通信1次</w:t>
      </w:r>
      <w:r w:rsidRPr="00792411">
        <w:rPr>
          <w:rFonts w:ascii="仿宋_GB2312" w:eastAsia="仿宋_GB2312" w:hAnsi="黑体" w:hint="eastAsia"/>
          <w:sz w:val="32"/>
          <w:szCs w:val="32"/>
        </w:rPr>
        <w:t>。</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8.信息存储</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内置数据存储模块，支持航行数据存储，自动存储本船航迹不少于1年，自动存储本船周围AIS动态数据不少于3个月。船舶进港时把存储的航行数据通过移动通信网自动上</w:t>
      </w:r>
      <w:r w:rsidRPr="00792411">
        <w:rPr>
          <w:rFonts w:ascii="仿宋_GB2312" w:eastAsia="仿宋_GB2312" w:hAnsi="黑体" w:hint="eastAsia"/>
          <w:sz w:val="32"/>
          <w:szCs w:val="32"/>
        </w:rPr>
        <w:lastRenderedPageBreak/>
        <w:t>传管理平台。</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9.环境适应性</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(1)总体要求。符合SC/T7002.1或GD22-2015的有关规定。</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(2)高低温。符合SC/T7002.2和SC/T7002.3或GD22-2015的有关规定。</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(3)振动。符合SC/T7002.8或GD22-2015的有关规定。</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(4)碰撞。符合SC/T7002.9或GD22-2015的有关规定。</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(5)外壳防护。符合SC/T7002.10或GD22-2015的有关规定。</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(6)湿热。符合SC/T7002.5或GD22-2015的有关规定。</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(7)防盐雾。符合SC/T7002.6或GD22-2015的有关规定。</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10</w:t>
      </w:r>
      <w:r>
        <w:rPr>
          <w:rFonts w:ascii="仿宋_GB2312" w:eastAsia="仿宋_GB2312" w:hAnsi="黑体" w:hint="eastAsia"/>
          <w:sz w:val="32"/>
          <w:szCs w:val="32"/>
        </w:rPr>
        <w:t>.</w:t>
      </w:r>
      <w:r w:rsidRPr="00792411">
        <w:rPr>
          <w:rFonts w:ascii="仿宋_GB2312" w:eastAsia="仿宋_GB2312" w:hAnsi="黑体" w:hint="eastAsia"/>
          <w:sz w:val="32"/>
          <w:szCs w:val="32"/>
        </w:rPr>
        <w:t>电池电量监测</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能对电池电量进行实时监测，并回传至岸上管理平台。</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11</w:t>
      </w:r>
      <w:r>
        <w:rPr>
          <w:rFonts w:ascii="仿宋_GB2312" w:eastAsia="仿宋_GB2312" w:hAnsi="黑体" w:hint="eastAsia"/>
          <w:sz w:val="32"/>
          <w:szCs w:val="32"/>
        </w:rPr>
        <w:t>.</w:t>
      </w:r>
      <w:r w:rsidRPr="00792411">
        <w:rPr>
          <w:rFonts w:ascii="仿宋_GB2312" w:eastAsia="仿宋_GB2312" w:hAnsi="黑体" w:hint="eastAsia"/>
          <w:sz w:val="32"/>
          <w:szCs w:val="32"/>
        </w:rPr>
        <w:t>通信状态监测</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能对通信状态进行实时监测，并回传至岸上管理平台。</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12</w:t>
      </w:r>
      <w:r>
        <w:rPr>
          <w:rFonts w:ascii="仿宋_GB2312" w:eastAsia="仿宋_GB2312" w:hAnsi="黑体" w:hint="eastAsia"/>
          <w:sz w:val="32"/>
          <w:szCs w:val="32"/>
        </w:rPr>
        <w:t>.</w:t>
      </w:r>
      <w:r w:rsidRPr="00792411">
        <w:rPr>
          <w:rFonts w:ascii="仿宋_GB2312" w:eastAsia="仿宋_GB2312" w:hAnsi="黑体" w:hint="eastAsia"/>
          <w:sz w:val="32"/>
          <w:szCs w:val="32"/>
        </w:rPr>
        <w:t>结构形态</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终端为一体式的结构，除了必要的</w:t>
      </w:r>
      <w:proofErr w:type="gramStart"/>
      <w:r w:rsidRPr="00792411">
        <w:rPr>
          <w:rFonts w:ascii="仿宋_GB2312" w:eastAsia="仿宋_GB2312" w:hAnsi="黑体" w:hint="eastAsia"/>
          <w:sz w:val="32"/>
          <w:szCs w:val="32"/>
        </w:rPr>
        <w:t>固定装夹零部件</w:t>
      </w:r>
      <w:proofErr w:type="gramEnd"/>
      <w:r w:rsidRPr="00792411">
        <w:rPr>
          <w:rFonts w:ascii="仿宋_GB2312" w:eastAsia="仿宋_GB2312" w:hAnsi="黑体" w:hint="eastAsia"/>
          <w:sz w:val="32"/>
          <w:szCs w:val="32"/>
        </w:rPr>
        <w:t>外，无裸线，无插接口；终端工业设 计、材料、质量、尺寸合理，不影响正常作业。</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13</w:t>
      </w:r>
      <w:r>
        <w:rPr>
          <w:rFonts w:ascii="仿宋_GB2312" w:eastAsia="仿宋_GB2312" w:hAnsi="黑体" w:hint="eastAsia"/>
          <w:sz w:val="32"/>
          <w:szCs w:val="32"/>
        </w:rPr>
        <w:t>.</w:t>
      </w:r>
      <w:r w:rsidRPr="00792411">
        <w:rPr>
          <w:rFonts w:ascii="仿宋_GB2312" w:eastAsia="仿宋_GB2312" w:hAnsi="黑体" w:hint="eastAsia"/>
          <w:sz w:val="32"/>
          <w:szCs w:val="32"/>
        </w:rPr>
        <w:t>设备表面质量</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表面不应有明显凹痕、划伤、裂缝、变形、灌注物溢出等缺陷；金属零件不应有腐蚀和其他机械损伤。</w:t>
      </w:r>
    </w:p>
    <w:p w:rsidR="00792411" w:rsidRPr="00792411" w:rsidRDefault="00792411" w:rsidP="008F5BE6">
      <w:pPr>
        <w:spacing w:line="560" w:lineRule="exact"/>
        <w:ind w:firstLineChars="200" w:firstLine="640"/>
        <w:rPr>
          <w:rFonts w:ascii="仿宋_GB2312" w:eastAsia="仿宋_GB2312" w:hAnsi="黑体" w:hint="eastAsia"/>
          <w:sz w:val="32"/>
          <w:szCs w:val="32"/>
        </w:rPr>
      </w:pPr>
      <w:r w:rsidRPr="00792411">
        <w:rPr>
          <w:rFonts w:ascii="仿宋_GB2312" w:eastAsia="仿宋_GB2312" w:hAnsi="黑体" w:hint="eastAsia"/>
          <w:sz w:val="32"/>
          <w:szCs w:val="32"/>
        </w:rPr>
        <w:t>14</w:t>
      </w:r>
      <w:r>
        <w:rPr>
          <w:rFonts w:ascii="仿宋_GB2312" w:eastAsia="仿宋_GB2312" w:hAnsi="黑体" w:hint="eastAsia"/>
          <w:sz w:val="32"/>
          <w:szCs w:val="32"/>
        </w:rPr>
        <w:t>.</w:t>
      </w:r>
      <w:r w:rsidRPr="00792411">
        <w:rPr>
          <w:rFonts w:ascii="仿宋_GB2312" w:eastAsia="仿宋_GB2312" w:hAnsi="黑体" w:hint="eastAsia"/>
          <w:sz w:val="32"/>
          <w:szCs w:val="32"/>
        </w:rPr>
        <w:t>设备外观</w:t>
      </w:r>
    </w:p>
    <w:p w:rsidR="00BA4FB0" w:rsidRDefault="00792411" w:rsidP="008F5BE6">
      <w:pPr>
        <w:spacing w:line="560" w:lineRule="exact"/>
        <w:ind w:firstLineChars="200" w:firstLine="640"/>
        <w:rPr>
          <w:rFonts w:ascii="仿宋_GB2312" w:eastAsia="仿宋_GB2312" w:hAnsi="黑体"/>
          <w:sz w:val="32"/>
          <w:szCs w:val="32"/>
        </w:rPr>
      </w:pPr>
      <w:r w:rsidRPr="00792411">
        <w:rPr>
          <w:rFonts w:ascii="仿宋_GB2312" w:eastAsia="仿宋_GB2312" w:hAnsi="黑体" w:hint="eastAsia"/>
          <w:sz w:val="32"/>
          <w:szCs w:val="32"/>
        </w:rPr>
        <w:lastRenderedPageBreak/>
        <w:t>应具有标明制造厂、型号和编号、出厂年月等的铭牌，以及经船用产品检验合格的标志，文字符号及标志清晰美观。</w:t>
      </w:r>
    </w:p>
    <w:p w:rsidR="00BA4FB0" w:rsidRDefault="008522F3" w:rsidP="008F5BE6">
      <w:pPr>
        <w:spacing w:line="560" w:lineRule="exact"/>
        <w:ind w:firstLineChars="200" w:firstLine="640"/>
        <w:rPr>
          <w:rFonts w:ascii="黑体" w:eastAsia="黑体" w:hAnsi="黑体"/>
          <w:sz w:val="32"/>
          <w:szCs w:val="32"/>
        </w:rPr>
      </w:pPr>
      <w:r>
        <w:rPr>
          <w:rFonts w:ascii="黑体" w:eastAsia="黑体" w:hAnsi="黑体" w:hint="eastAsia"/>
          <w:sz w:val="32"/>
          <w:szCs w:val="32"/>
        </w:rPr>
        <w:t>五、投资概算</w:t>
      </w:r>
    </w:p>
    <w:p w:rsidR="00BA4FB0" w:rsidRDefault="008522F3" w:rsidP="008F5BE6">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福建省</w:t>
      </w:r>
      <w:r w:rsidR="00317307">
        <w:rPr>
          <w:rFonts w:ascii="仿宋_GB2312" w:eastAsia="仿宋_GB2312" w:hAnsi="仿宋" w:cs="仿宋_GB2312" w:hint="eastAsia"/>
          <w:color w:val="000000"/>
          <w:sz w:val="32"/>
          <w:szCs w:val="32"/>
        </w:rPr>
        <w:t>小型</w:t>
      </w:r>
      <w:r>
        <w:rPr>
          <w:rFonts w:ascii="仿宋_GB2312" w:eastAsia="仿宋_GB2312" w:hAnsi="仿宋" w:cs="仿宋_GB2312" w:hint="eastAsia"/>
          <w:color w:val="000000"/>
          <w:sz w:val="32"/>
          <w:szCs w:val="32"/>
        </w:rPr>
        <w:t>海洋渔船固定式北斗示位仪（定位终端）建设项目</w:t>
      </w:r>
      <w:r w:rsidR="00C25F6C" w:rsidRPr="00C25F6C">
        <w:rPr>
          <w:rFonts w:ascii="仿宋_GB2312" w:eastAsia="仿宋_GB2312" w:hAnsi="仿宋" w:cs="仿宋_GB2312" w:hint="eastAsia"/>
          <w:color w:val="000000"/>
          <w:sz w:val="32"/>
          <w:szCs w:val="32"/>
        </w:rPr>
        <w:t>总投资</w:t>
      </w:r>
      <w:r w:rsidR="00C25F6C" w:rsidRPr="00D11796">
        <w:rPr>
          <w:rFonts w:ascii="仿宋_GB2312" w:eastAsia="仿宋_GB2312" w:hAnsi="仿宋" w:cs="仿宋_GB2312" w:hint="eastAsia"/>
          <w:b/>
          <w:color w:val="000000"/>
          <w:sz w:val="32"/>
          <w:szCs w:val="32"/>
        </w:rPr>
        <w:t>2787.13万元</w:t>
      </w:r>
      <w:r w:rsidR="00C25F6C" w:rsidRPr="00C25F6C">
        <w:rPr>
          <w:rFonts w:ascii="仿宋_GB2312" w:eastAsia="仿宋_GB2312" w:hAnsi="仿宋" w:cs="仿宋_GB2312" w:hint="eastAsia"/>
          <w:color w:val="000000"/>
          <w:sz w:val="32"/>
          <w:szCs w:val="32"/>
        </w:rPr>
        <w:t>，其中工程费</w:t>
      </w:r>
      <w:r w:rsidR="00C25F6C" w:rsidRPr="00D11796">
        <w:rPr>
          <w:rFonts w:ascii="仿宋_GB2312" w:eastAsia="仿宋_GB2312" w:hAnsi="仿宋" w:cs="仿宋_GB2312" w:hint="eastAsia"/>
          <w:b/>
          <w:color w:val="000000"/>
          <w:sz w:val="32"/>
          <w:szCs w:val="32"/>
        </w:rPr>
        <w:t>2557.00万元</w:t>
      </w:r>
      <w:r w:rsidR="00C25F6C" w:rsidRPr="00C25F6C">
        <w:rPr>
          <w:rFonts w:ascii="仿宋_GB2312" w:eastAsia="仿宋_GB2312" w:hAnsi="仿宋" w:cs="仿宋_GB2312" w:hint="eastAsia"/>
          <w:color w:val="000000"/>
          <w:sz w:val="32"/>
          <w:szCs w:val="32"/>
        </w:rPr>
        <w:t>，工程建设其他费</w:t>
      </w:r>
      <w:r w:rsidR="00C25F6C" w:rsidRPr="00D11796">
        <w:rPr>
          <w:rFonts w:ascii="仿宋_GB2312" w:eastAsia="仿宋_GB2312" w:hAnsi="仿宋" w:cs="仿宋_GB2312" w:hint="eastAsia"/>
          <w:b/>
          <w:color w:val="000000"/>
          <w:sz w:val="32"/>
          <w:szCs w:val="32"/>
        </w:rPr>
        <w:t>230.13万元</w:t>
      </w:r>
      <w:r>
        <w:rPr>
          <w:rFonts w:ascii="仿宋_GB2312" w:eastAsia="仿宋_GB2312" w:hAnsi="仿宋" w:cs="仿宋_GB2312" w:hint="eastAsia"/>
          <w:color w:val="000000"/>
          <w:sz w:val="32"/>
          <w:szCs w:val="32"/>
        </w:rPr>
        <w:t>。</w:t>
      </w:r>
    </w:p>
    <w:p w:rsidR="00BA4FB0" w:rsidRDefault="008522F3" w:rsidP="008F5BE6">
      <w:pPr>
        <w:spacing w:line="560" w:lineRule="exact"/>
        <w:ind w:firstLineChars="200" w:firstLine="640"/>
        <w:rPr>
          <w:rFonts w:ascii="黑体" w:eastAsia="黑体" w:hAnsi="黑体"/>
          <w:sz w:val="32"/>
          <w:szCs w:val="32"/>
        </w:rPr>
      </w:pPr>
      <w:r>
        <w:rPr>
          <w:rFonts w:ascii="仿宋_GB2312" w:eastAsia="仿宋_GB2312" w:hAnsi="华文仿宋" w:hint="eastAsia"/>
          <w:sz w:val="32"/>
          <w:szCs w:val="32"/>
        </w:rPr>
        <w:t>工程建设其</w:t>
      </w:r>
      <w:r w:rsidR="00792411" w:rsidRPr="00C25F6C">
        <w:rPr>
          <w:rFonts w:ascii="仿宋_GB2312" w:eastAsia="仿宋_GB2312" w:hAnsi="仿宋" w:cs="仿宋_GB2312" w:hint="eastAsia"/>
          <w:color w:val="000000"/>
          <w:sz w:val="32"/>
          <w:szCs w:val="32"/>
        </w:rPr>
        <w:t>他</w:t>
      </w:r>
      <w:r>
        <w:rPr>
          <w:rFonts w:ascii="仿宋_GB2312" w:eastAsia="仿宋_GB2312" w:hAnsi="华文仿宋" w:hint="eastAsia"/>
          <w:sz w:val="32"/>
          <w:szCs w:val="32"/>
        </w:rPr>
        <w:t>费包含系统集成与培训费、信息工程监理费、系统测试与安全测评费、项目管理与可</w:t>
      </w:r>
      <w:proofErr w:type="gramStart"/>
      <w:r>
        <w:rPr>
          <w:rFonts w:ascii="仿宋_GB2312" w:eastAsia="仿宋_GB2312" w:hAnsi="华文仿宋" w:hint="eastAsia"/>
          <w:sz w:val="32"/>
          <w:szCs w:val="32"/>
        </w:rPr>
        <w:t>研</w:t>
      </w:r>
      <w:proofErr w:type="gramEnd"/>
      <w:r>
        <w:rPr>
          <w:rFonts w:ascii="仿宋_GB2312" w:eastAsia="仿宋_GB2312" w:hAnsi="华文仿宋" w:hint="eastAsia"/>
          <w:sz w:val="32"/>
          <w:szCs w:val="32"/>
        </w:rPr>
        <w:t>初设费等，约占工程费的</w:t>
      </w:r>
      <w:r w:rsidR="00C25F6C">
        <w:rPr>
          <w:rFonts w:ascii="仿宋_GB2312" w:eastAsia="仿宋_GB2312" w:hAnsi="华文仿宋"/>
          <w:sz w:val="32"/>
          <w:szCs w:val="32"/>
        </w:rPr>
        <w:t>9</w:t>
      </w:r>
      <w:r>
        <w:rPr>
          <w:rFonts w:ascii="仿宋_GB2312" w:eastAsia="仿宋_GB2312" w:hAnsi="华文仿宋" w:hint="eastAsia"/>
          <w:sz w:val="32"/>
          <w:szCs w:val="32"/>
        </w:rPr>
        <w:t>%左</w:t>
      </w:r>
      <w:r>
        <w:rPr>
          <w:rFonts w:ascii="仿宋_GB2312" w:eastAsia="仿宋_GB2312" w:hAnsi="华文仿宋" w:hint="eastAsia"/>
          <w:sz w:val="32"/>
        </w:rPr>
        <w:t>右。</w:t>
      </w:r>
    </w:p>
    <w:p w:rsidR="00BA4FB0" w:rsidRDefault="008522F3" w:rsidP="008F5BE6">
      <w:pPr>
        <w:spacing w:line="560" w:lineRule="exact"/>
        <w:ind w:firstLineChars="200" w:firstLine="640"/>
        <w:rPr>
          <w:rFonts w:ascii="仿宋_GB2312" w:eastAsia="仿宋_GB2312" w:hAnsi="仿宋" w:cs="仿宋_GB2312"/>
          <w:color w:val="000000"/>
          <w:sz w:val="32"/>
          <w:szCs w:val="32"/>
        </w:rPr>
      </w:pPr>
      <w:r>
        <w:rPr>
          <w:rFonts w:ascii="黑体" w:eastAsia="黑体" w:hAnsi="黑体" w:hint="eastAsia"/>
          <w:sz w:val="32"/>
          <w:szCs w:val="32"/>
        </w:rPr>
        <w:t>六、经费来源</w:t>
      </w:r>
    </w:p>
    <w:p w:rsidR="00BA4FB0" w:rsidRDefault="008522F3" w:rsidP="008F5BE6">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项目经费由福建省海洋与渔业局自筹，</w:t>
      </w:r>
      <w:r w:rsidR="00C25F6C" w:rsidRPr="00C25F6C">
        <w:rPr>
          <w:rFonts w:ascii="仿宋_GB2312" w:eastAsia="仿宋_GB2312" w:hAnsi="仿宋" w:cs="仿宋_GB2312" w:hint="eastAsia"/>
          <w:color w:val="000000"/>
          <w:sz w:val="32"/>
          <w:szCs w:val="32"/>
        </w:rPr>
        <w:t>从中央渔船油价补贴专项转移统筹安排（</w:t>
      </w:r>
      <w:proofErr w:type="gramStart"/>
      <w:r w:rsidR="00C25F6C" w:rsidRPr="00C25F6C">
        <w:rPr>
          <w:rFonts w:ascii="仿宋_GB2312" w:eastAsia="仿宋_GB2312" w:hAnsi="仿宋" w:cs="仿宋_GB2312" w:hint="eastAsia"/>
          <w:color w:val="000000"/>
          <w:sz w:val="32"/>
          <w:szCs w:val="32"/>
        </w:rPr>
        <w:t>另称“中央统筹资金”</w:t>
      </w:r>
      <w:proofErr w:type="gramEnd"/>
      <w:r w:rsidR="00C25F6C" w:rsidRPr="00C25F6C">
        <w:rPr>
          <w:rFonts w:ascii="仿宋_GB2312" w:eastAsia="仿宋_GB2312" w:hAnsi="仿宋" w:cs="仿宋_GB2312" w:hint="eastAsia"/>
          <w:color w:val="000000"/>
          <w:sz w:val="32"/>
          <w:szCs w:val="32"/>
        </w:rPr>
        <w:t>，简称“中央统筹”）统筹安排</w:t>
      </w:r>
      <w:r>
        <w:rPr>
          <w:rFonts w:ascii="仿宋_GB2312" w:eastAsia="仿宋_GB2312" w:hAnsi="仿宋" w:cs="仿宋_GB2312" w:hint="eastAsia"/>
          <w:color w:val="000000"/>
          <w:sz w:val="32"/>
          <w:szCs w:val="32"/>
        </w:rPr>
        <w:t>。</w:t>
      </w:r>
    </w:p>
    <w:p w:rsidR="00BA4FB0" w:rsidRDefault="008522F3" w:rsidP="008F5BE6">
      <w:pPr>
        <w:spacing w:line="560" w:lineRule="exact"/>
        <w:ind w:firstLineChars="200" w:firstLine="640"/>
        <w:rPr>
          <w:rFonts w:ascii="黑体" w:eastAsia="黑体" w:hAnsi="黑体"/>
          <w:sz w:val="32"/>
          <w:szCs w:val="32"/>
        </w:rPr>
      </w:pPr>
      <w:r>
        <w:rPr>
          <w:rFonts w:ascii="黑体" w:eastAsia="黑体" w:hAnsi="黑体" w:hint="eastAsia"/>
          <w:sz w:val="32"/>
          <w:szCs w:val="32"/>
        </w:rPr>
        <w:t>七、职责分工</w:t>
      </w:r>
    </w:p>
    <w:p w:rsidR="00BA4FB0" w:rsidRDefault="008522F3" w:rsidP="008F5BE6">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㈠省局负责项目立项审批、政府采购、统筹督办、资金拨付和技术指导等工作，各相关处室和单位分工如下：</w:t>
      </w:r>
    </w:p>
    <w:p w:rsidR="00BA4FB0" w:rsidRDefault="008522F3" w:rsidP="008F5BE6">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1.局防灾减灾处：负责项目总牵头工作。负责制定项目实施细则；协调各业务处室工作推动项目进展；负责项目立项审批；负责项目政府采购；负责项目统筹督办、上传下达工作；负责组织技术指导与项目验收；</w:t>
      </w:r>
    </w:p>
    <w:p w:rsidR="00BA4FB0" w:rsidRDefault="008522F3" w:rsidP="008F5BE6">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2.局计划财务处：负责制定项目资金管理办法；负责资金拨付工作；负责指导政府采购工作，协调采购过程中需要解决的事宜；负责指导项目实施过程中所涉及的财政流程问</w:t>
      </w:r>
      <w:r>
        <w:rPr>
          <w:rFonts w:ascii="仿宋_GB2312" w:eastAsia="仿宋_GB2312" w:hAnsi="宋体" w:cs="Times New Roman" w:hint="eastAsia"/>
          <w:sz w:val="32"/>
          <w:szCs w:val="32"/>
        </w:rPr>
        <w:lastRenderedPageBreak/>
        <w:t>题；</w:t>
      </w:r>
      <w:bookmarkStart w:id="0" w:name="_Hlk2693077"/>
      <w:r>
        <w:rPr>
          <w:rFonts w:ascii="仿宋_GB2312" w:eastAsia="仿宋_GB2312" w:hAnsi="宋体" w:cs="Times New Roman" w:hint="eastAsia"/>
          <w:sz w:val="32"/>
          <w:szCs w:val="32"/>
        </w:rPr>
        <w:t>参与项目其他有关事项；</w:t>
      </w:r>
    </w:p>
    <w:bookmarkEnd w:id="0"/>
    <w:p w:rsidR="00BA4FB0" w:rsidRDefault="008522F3" w:rsidP="008F5BE6">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3.局渔船渔港管理处：负责项目建设补助规模复核（核对）；</w:t>
      </w:r>
      <w:bookmarkStart w:id="1" w:name="_Hlk2693138"/>
      <w:r>
        <w:rPr>
          <w:rFonts w:ascii="仿宋_GB2312" w:eastAsia="仿宋_GB2312" w:hAnsi="宋体" w:cs="Times New Roman" w:hint="eastAsia"/>
          <w:sz w:val="32"/>
          <w:szCs w:val="32"/>
        </w:rPr>
        <w:t>参与项目其他有关事项；</w:t>
      </w:r>
    </w:p>
    <w:bookmarkEnd w:id="1"/>
    <w:p w:rsidR="00BA4FB0" w:rsidRDefault="008522F3" w:rsidP="008F5BE6">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4.局智慧海洋项目办：承担项目技术指导工作；配合业务处室做好各项基础性工作；参与项目其他有关事项。</w:t>
      </w:r>
    </w:p>
    <w:p w:rsidR="00BA4FB0" w:rsidRDefault="008522F3" w:rsidP="008F5BE6">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5.其他单位：省海洋预报台</w:t>
      </w:r>
      <w:r w:rsidR="00792411">
        <w:rPr>
          <w:rFonts w:ascii="仿宋_GB2312" w:eastAsia="仿宋_GB2312" w:hAnsi="宋体" w:cs="Times New Roman" w:hint="eastAsia"/>
          <w:sz w:val="32"/>
          <w:szCs w:val="32"/>
        </w:rPr>
        <w:t>、省渔业减灾中心配合</w:t>
      </w:r>
      <w:r>
        <w:rPr>
          <w:rFonts w:ascii="仿宋_GB2312" w:eastAsia="仿宋_GB2312" w:hAnsi="宋体" w:cs="Times New Roman" w:hint="eastAsia"/>
          <w:sz w:val="32"/>
          <w:szCs w:val="32"/>
        </w:rPr>
        <w:t>终端与平台的数据对接工作。</w:t>
      </w:r>
    </w:p>
    <w:p w:rsidR="00BA4FB0" w:rsidRDefault="008522F3" w:rsidP="008F5BE6">
      <w:pPr>
        <w:spacing w:line="560" w:lineRule="exact"/>
        <w:ind w:firstLineChars="200" w:firstLine="640"/>
        <w:rPr>
          <w:rFonts w:ascii="仿宋_GB2312" w:eastAsia="仿宋_GB2312" w:hAnsi="宋体" w:cs="Times New Roman"/>
          <w:sz w:val="32"/>
          <w:szCs w:val="32"/>
        </w:rPr>
      </w:pPr>
      <w:r>
        <w:rPr>
          <w:rFonts w:ascii="仿宋_GB2312" w:eastAsia="仿宋_GB2312" w:hAnsi="黑体" w:hint="eastAsia"/>
          <w:sz w:val="32"/>
          <w:szCs w:val="32"/>
        </w:rPr>
        <w:t>㈡</w:t>
      </w:r>
      <w:r w:rsidR="00792411">
        <w:rPr>
          <w:rFonts w:ascii="仿宋_GB2312" w:eastAsia="仿宋_GB2312" w:hAnsi="黑体" w:hint="eastAsia"/>
          <w:sz w:val="32"/>
          <w:szCs w:val="32"/>
        </w:rPr>
        <w:t>沿海</w:t>
      </w:r>
      <w:r>
        <w:rPr>
          <w:rFonts w:ascii="仿宋_GB2312" w:eastAsia="仿宋_GB2312" w:hAnsi="黑体" w:hint="eastAsia"/>
          <w:sz w:val="32"/>
          <w:szCs w:val="32"/>
        </w:rPr>
        <w:t>各</w:t>
      </w:r>
      <w:r w:rsidR="004136AC">
        <w:rPr>
          <w:rFonts w:ascii="仿宋_GB2312" w:eastAsia="仿宋_GB2312" w:hAnsi="黑体" w:hint="eastAsia"/>
          <w:sz w:val="32"/>
          <w:szCs w:val="32"/>
        </w:rPr>
        <w:t>设区</w:t>
      </w:r>
      <w:r>
        <w:rPr>
          <w:rFonts w:ascii="仿宋_GB2312" w:eastAsia="仿宋_GB2312" w:hAnsi="黑体" w:hint="eastAsia"/>
          <w:sz w:val="32"/>
          <w:szCs w:val="32"/>
        </w:rPr>
        <w:t>市渔业</w:t>
      </w:r>
      <w:r w:rsidR="004136AC">
        <w:rPr>
          <w:rFonts w:ascii="仿宋_GB2312" w:eastAsia="仿宋_GB2312" w:hAnsi="黑体" w:hint="eastAsia"/>
          <w:sz w:val="32"/>
          <w:szCs w:val="32"/>
        </w:rPr>
        <w:t>行政</w:t>
      </w:r>
      <w:r>
        <w:rPr>
          <w:rFonts w:ascii="仿宋_GB2312" w:eastAsia="仿宋_GB2312" w:hAnsi="黑体" w:hint="eastAsia"/>
          <w:sz w:val="32"/>
          <w:szCs w:val="32"/>
        </w:rPr>
        <w:t>主管部门作为建设主体负责开展项目建设工作，配合上级部门开展项目建设相关工作。</w:t>
      </w:r>
    </w:p>
    <w:p w:rsidR="00BA4FB0" w:rsidRDefault="008522F3" w:rsidP="008F5BE6">
      <w:pPr>
        <w:spacing w:line="560" w:lineRule="exact"/>
        <w:ind w:firstLineChars="200" w:firstLine="640"/>
        <w:rPr>
          <w:rFonts w:ascii="黑体" w:eastAsia="黑体" w:hAnsi="黑体"/>
          <w:sz w:val="32"/>
          <w:szCs w:val="32"/>
        </w:rPr>
      </w:pPr>
      <w:r>
        <w:rPr>
          <w:rFonts w:ascii="黑体" w:eastAsia="黑体" w:hAnsi="黑体" w:hint="eastAsia"/>
          <w:sz w:val="32"/>
          <w:szCs w:val="32"/>
        </w:rPr>
        <w:t>八、保障措施</w:t>
      </w:r>
    </w:p>
    <w:p w:rsidR="00BA4FB0" w:rsidRDefault="008522F3" w:rsidP="008F5BE6">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㈠加强组织领导</w:t>
      </w:r>
    </w:p>
    <w:p w:rsidR="00BA4FB0" w:rsidRDefault="008522F3" w:rsidP="008F5BE6">
      <w:pPr>
        <w:pStyle w:val="a7"/>
        <w:spacing w:before="0" w:beforeAutospacing="0" w:after="0" w:afterAutospacing="0" w:line="560" w:lineRule="exact"/>
        <w:ind w:firstLineChars="200" w:firstLine="640"/>
        <w:jc w:val="both"/>
        <w:rPr>
          <w:rFonts w:ascii="仿宋_GB2312" w:eastAsia="仿宋_GB2312" w:hAnsi="黑体" w:cstheme="minorBidi"/>
          <w:kern w:val="2"/>
          <w:sz w:val="32"/>
          <w:szCs w:val="32"/>
        </w:rPr>
      </w:pPr>
      <w:r>
        <w:rPr>
          <w:rFonts w:ascii="仿宋_GB2312" w:eastAsia="仿宋_GB2312" w:hAnsi="黑体" w:cstheme="minorBidi" w:hint="eastAsia"/>
          <w:kern w:val="2"/>
          <w:sz w:val="32"/>
          <w:szCs w:val="32"/>
        </w:rPr>
        <w:t>各单位、各部门要根据中央有关文件要求，结合我省实际，抓紧组织实施。局防灾减灾处作为项目总牵头单位，需落实项目主体责任，组织好方案制定、政府采购、项目建设、技术服务等工作，同时要加强指导，及时了解掌握执行中出现的新情况和新问题，并及时加以解决。</w:t>
      </w:r>
    </w:p>
    <w:p w:rsidR="00BA4FB0" w:rsidRDefault="008522F3" w:rsidP="008F5BE6">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㈡加强资金管理</w:t>
      </w:r>
    </w:p>
    <w:p w:rsidR="00BA4FB0" w:rsidRDefault="008522F3" w:rsidP="008F5BE6">
      <w:pPr>
        <w:pStyle w:val="a7"/>
        <w:spacing w:before="0" w:beforeAutospacing="0" w:after="0" w:afterAutospacing="0" w:line="560" w:lineRule="exact"/>
        <w:ind w:firstLineChars="200" w:firstLine="640"/>
        <w:jc w:val="both"/>
        <w:rPr>
          <w:rFonts w:ascii="仿宋_GB2312" w:eastAsia="仿宋_GB2312" w:hAnsi="黑体" w:cstheme="minorBidi"/>
          <w:kern w:val="2"/>
          <w:sz w:val="32"/>
          <w:szCs w:val="32"/>
        </w:rPr>
      </w:pPr>
      <w:r>
        <w:rPr>
          <w:rFonts w:ascii="仿宋_GB2312" w:eastAsia="仿宋_GB2312" w:hAnsi="黑体" w:cstheme="minorBidi" w:hint="eastAsia"/>
          <w:kern w:val="2"/>
          <w:sz w:val="32"/>
          <w:szCs w:val="32"/>
        </w:rPr>
        <w:t>局计财处根据实施方案，加强资金管理，按计划及时拨付建设资金，不得挤占、挪用，要设置项目资金使用明细账，实行专账核算、专款专用，并严格遵守政府采购等相关财务管理规章制度。</w:t>
      </w:r>
    </w:p>
    <w:p w:rsidR="00BA4FB0" w:rsidRDefault="008522F3" w:rsidP="008F5BE6">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㈢加强监督检查</w:t>
      </w:r>
    </w:p>
    <w:p w:rsidR="00BA4FB0" w:rsidRDefault="008522F3" w:rsidP="008F5BE6">
      <w:pPr>
        <w:pStyle w:val="a7"/>
        <w:spacing w:before="0" w:beforeAutospacing="0" w:after="0" w:afterAutospacing="0" w:line="560" w:lineRule="exact"/>
        <w:ind w:firstLine="480"/>
        <w:jc w:val="both"/>
        <w:rPr>
          <w:rFonts w:ascii="仿宋_GB2312" w:eastAsia="仿宋_GB2312" w:hAnsi="黑体" w:cstheme="minorBidi"/>
          <w:kern w:val="2"/>
          <w:sz w:val="32"/>
          <w:szCs w:val="32"/>
        </w:rPr>
      </w:pPr>
      <w:r>
        <w:rPr>
          <w:rFonts w:ascii="仿宋_GB2312" w:eastAsia="仿宋_GB2312" w:hAnsi="黑体" w:cstheme="minorBidi" w:hint="eastAsia"/>
          <w:kern w:val="2"/>
          <w:sz w:val="32"/>
          <w:szCs w:val="32"/>
        </w:rPr>
        <w:lastRenderedPageBreak/>
        <w:t>省局和沿海设区市渔业</w:t>
      </w:r>
      <w:r w:rsidR="00097E82">
        <w:rPr>
          <w:rFonts w:ascii="仿宋_GB2312" w:eastAsia="仿宋_GB2312" w:hAnsi="黑体" w:cstheme="minorBidi" w:hint="eastAsia"/>
          <w:kern w:val="2"/>
          <w:sz w:val="32"/>
          <w:szCs w:val="32"/>
        </w:rPr>
        <w:t>行政</w:t>
      </w:r>
      <w:r>
        <w:rPr>
          <w:rFonts w:ascii="仿宋_GB2312" w:eastAsia="仿宋_GB2312" w:hAnsi="黑体" w:cstheme="minorBidi" w:hint="eastAsia"/>
          <w:kern w:val="2"/>
          <w:sz w:val="32"/>
          <w:szCs w:val="32"/>
        </w:rPr>
        <w:t>主管部门要加强工作督导，及时掌握项目实施情况；加强项目实施情况监督检查，及时纠正项目实施过程中出现的各种问题，确保建设质量。项目实施过程中，及时将项目设备选型、安装对象、产品价格、配送安装、付费方式、售后服务等事项，以适当方式在渔区公开，广泛宣传告知。</w:t>
      </w:r>
    </w:p>
    <w:p w:rsidR="00BA4FB0" w:rsidRDefault="008522F3" w:rsidP="008F5BE6">
      <w:pPr>
        <w:pStyle w:val="a7"/>
        <w:spacing w:before="0" w:beforeAutospacing="0" w:after="0" w:afterAutospacing="0" w:line="560" w:lineRule="exact"/>
        <w:ind w:firstLine="480"/>
        <w:jc w:val="both"/>
        <w:rPr>
          <w:rFonts w:ascii="楷体_GB2312" w:eastAsia="楷体_GB2312" w:hAnsi="黑体" w:cstheme="minorBidi"/>
          <w:b/>
          <w:kern w:val="2"/>
          <w:sz w:val="32"/>
          <w:szCs w:val="32"/>
        </w:rPr>
      </w:pPr>
      <w:r>
        <w:rPr>
          <w:rFonts w:ascii="楷体_GB2312" w:eastAsia="楷体_GB2312" w:hAnsi="黑体" w:cstheme="minorBidi" w:hint="eastAsia"/>
          <w:b/>
          <w:kern w:val="2"/>
          <w:sz w:val="32"/>
          <w:szCs w:val="32"/>
        </w:rPr>
        <w:t>㈣加强绩效考评</w:t>
      </w:r>
    </w:p>
    <w:p w:rsidR="00BA4FB0" w:rsidRDefault="008522F3" w:rsidP="008F5BE6">
      <w:pPr>
        <w:pStyle w:val="a7"/>
        <w:spacing w:before="0" w:beforeAutospacing="0" w:after="0" w:afterAutospacing="0" w:line="560" w:lineRule="exact"/>
        <w:ind w:firstLine="480"/>
        <w:jc w:val="both"/>
        <w:rPr>
          <w:rFonts w:ascii="仿宋_GB2312" w:eastAsia="仿宋_GB2312" w:hAnsi="黑体" w:cstheme="minorBidi"/>
          <w:kern w:val="2"/>
          <w:sz w:val="32"/>
          <w:szCs w:val="32"/>
        </w:rPr>
      </w:pPr>
      <w:r>
        <w:rPr>
          <w:rFonts w:ascii="仿宋_GB2312" w:eastAsia="仿宋_GB2312" w:hAnsi="黑体" w:cstheme="minorBidi" w:hint="eastAsia"/>
          <w:kern w:val="2"/>
          <w:sz w:val="32"/>
          <w:szCs w:val="32"/>
        </w:rPr>
        <w:t>对项目全面开展绩效考评工作，重点对完成情况、资金使用情况、最终成果和</w:t>
      </w:r>
      <w:proofErr w:type="gramStart"/>
      <w:r>
        <w:rPr>
          <w:rFonts w:ascii="仿宋_GB2312" w:eastAsia="仿宋_GB2312" w:hAnsi="黑体" w:cstheme="minorBidi" w:hint="eastAsia"/>
          <w:kern w:val="2"/>
          <w:sz w:val="32"/>
          <w:szCs w:val="32"/>
        </w:rPr>
        <w:t>可</w:t>
      </w:r>
      <w:proofErr w:type="gramEnd"/>
      <w:r>
        <w:rPr>
          <w:rFonts w:ascii="仿宋_GB2312" w:eastAsia="仿宋_GB2312" w:hAnsi="黑体" w:cstheme="minorBidi" w:hint="eastAsia"/>
          <w:kern w:val="2"/>
          <w:sz w:val="32"/>
          <w:szCs w:val="32"/>
        </w:rPr>
        <w:t>实现的绩效目标等进行评价。由省局制定项目考评标准，组织好项目自验和省级验收，并对绩效考评与监督检查结果进行归档和上报。</w:t>
      </w:r>
    </w:p>
    <w:p w:rsidR="00BA4FB0" w:rsidRDefault="008522F3" w:rsidP="008F5BE6">
      <w:pPr>
        <w:spacing w:line="560" w:lineRule="exact"/>
        <w:ind w:firstLineChars="200" w:firstLine="640"/>
        <w:rPr>
          <w:rFonts w:ascii="黑体" w:eastAsia="黑体" w:hAnsi="黑体"/>
          <w:sz w:val="32"/>
          <w:szCs w:val="32"/>
        </w:rPr>
      </w:pPr>
      <w:r>
        <w:rPr>
          <w:rFonts w:ascii="黑体" w:eastAsia="黑体" w:hAnsi="黑体" w:hint="eastAsia"/>
          <w:sz w:val="32"/>
          <w:szCs w:val="32"/>
        </w:rPr>
        <w:t>九、效益分析</w:t>
      </w:r>
    </w:p>
    <w:p w:rsidR="00BA4FB0" w:rsidRDefault="008522F3" w:rsidP="008F5BE6">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㈠社会效益</w:t>
      </w:r>
    </w:p>
    <w:p w:rsidR="00BA4FB0" w:rsidRDefault="008522F3" w:rsidP="008F5BE6">
      <w:pPr>
        <w:spacing w:line="560" w:lineRule="exact"/>
        <w:ind w:firstLineChars="200" w:firstLine="640"/>
        <w:rPr>
          <w:rFonts w:ascii="楷体_GB2312" w:eastAsia="楷体_GB2312" w:hAnsi="黑体"/>
          <w:sz w:val="32"/>
          <w:szCs w:val="32"/>
        </w:rPr>
      </w:pPr>
      <w:r>
        <w:rPr>
          <w:rFonts w:ascii="仿宋_GB2312" w:eastAsia="仿宋_GB2312" w:hAnsi="仿宋" w:cs="仿宋_GB2312" w:hint="eastAsia"/>
          <w:color w:val="000000"/>
          <w:sz w:val="32"/>
          <w:szCs w:val="32"/>
        </w:rPr>
        <w:t>本项目是惠及广大渔民的民生工程</w:t>
      </w:r>
      <w:r w:rsidR="00097E82">
        <w:rPr>
          <w:rFonts w:ascii="仿宋_GB2312" w:eastAsia="仿宋_GB2312" w:hAnsi="仿宋" w:cs="仿宋_GB2312" w:hint="eastAsia"/>
          <w:color w:val="000000"/>
          <w:sz w:val="32"/>
          <w:szCs w:val="32"/>
        </w:rPr>
        <w:t>，是维护国家安全利益的保障工程，社会效益显著。项目的建成可为渔业</w:t>
      </w:r>
      <w:r>
        <w:rPr>
          <w:rFonts w:ascii="仿宋_GB2312" w:eastAsia="仿宋_GB2312" w:hAnsi="仿宋" w:cs="仿宋_GB2312" w:hint="eastAsia"/>
          <w:color w:val="000000"/>
          <w:sz w:val="32"/>
          <w:szCs w:val="32"/>
        </w:rPr>
        <w:t>管理决策和社会公众提供广泛的位置服务，提高渔业防灾减灾能力，提升渔船事故救援成功率，更好地保障渔民利益和生命财产安全。</w:t>
      </w:r>
    </w:p>
    <w:p w:rsidR="00BA4FB0" w:rsidRDefault="008522F3" w:rsidP="008F5BE6">
      <w:pPr>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㈡经济效益</w:t>
      </w:r>
    </w:p>
    <w:p w:rsidR="00BA4FB0" w:rsidRDefault="008522F3" w:rsidP="008F5BE6">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项目的建成有利于维护海洋渔业资源保护、合法有序作业以及应急救助，有利于渔业经济可持续发展。同时，项目的实施将直接推动各类卫星定位设备厂商、系统集成公司、应用部门等相关单位的业务联动，促进形成具有竞争力的产业链，推动信息技术和装备在海洋渔业应用领域全方位发展。</w:t>
      </w:r>
      <w:r>
        <w:rPr>
          <w:rFonts w:ascii="仿宋_GB2312" w:eastAsia="仿宋_GB2312" w:hAnsi="黑体" w:hint="eastAsia"/>
          <w:sz w:val="32"/>
          <w:szCs w:val="32"/>
        </w:rPr>
        <w:br w:type="page"/>
      </w:r>
    </w:p>
    <w:p w:rsidR="00BA4FB0" w:rsidRDefault="008522F3">
      <w:pPr>
        <w:rPr>
          <w:rFonts w:ascii="仿宋_GB2312" w:eastAsia="仿宋_GB2312" w:hAnsi="黑体"/>
          <w:b/>
          <w:bCs/>
          <w:sz w:val="32"/>
          <w:szCs w:val="32"/>
        </w:rPr>
      </w:pPr>
      <w:r>
        <w:rPr>
          <w:rFonts w:ascii="仿宋_GB2312" w:eastAsia="仿宋_GB2312" w:hAnsi="黑体" w:hint="eastAsia"/>
          <w:b/>
          <w:bCs/>
          <w:sz w:val="32"/>
          <w:szCs w:val="32"/>
        </w:rPr>
        <w:lastRenderedPageBreak/>
        <w:t>附件</w:t>
      </w:r>
    </w:p>
    <w:p w:rsidR="00F17F4F" w:rsidRPr="00F17F4F" w:rsidRDefault="00F17F4F" w:rsidP="008F5BE6">
      <w:pPr>
        <w:spacing w:line="560" w:lineRule="exact"/>
        <w:jc w:val="center"/>
        <w:rPr>
          <w:rFonts w:ascii="方正小标宋简体" w:eastAsia="方正小标宋简体" w:hint="eastAsia"/>
          <w:sz w:val="36"/>
          <w:szCs w:val="36"/>
        </w:rPr>
      </w:pPr>
      <w:r w:rsidRPr="00F17F4F">
        <w:rPr>
          <w:rFonts w:ascii="方正小标宋简体" w:eastAsia="方正小标宋简体" w:hint="eastAsia"/>
          <w:sz w:val="36"/>
          <w:szCs w:val="36"/>
        </w:rPr>
        <w:t>福建省小型海洋渔船固定式北斗示位仪</w:t>
      </w:r>
    </w:p>
    <w:p w:rsidR="00F17F4F" w:rsidRPr="00F17F4F" w:rsidRDefault="00F17F4F" w:rsidP="008F5BE6">
      <w:pPr>
        <w:spacing w:line="560" w:lineRule="exact"/>
        <w:jc w:val="center"/>
        <w:rPr>
          <w:rFonts w:ascii="方正小标宋简体" w:eastAsia="方正小标宋简体" w:hint="eastAsia"/>
          <w:sz w:val="36"/>
          <w:szCs w:val="36"/>
        </w:rPr>
      </w:pPr>
      <w:r w:rsidRPr="00F17F4F">
        <w:rPr>
          <w:rFonts w:ascii="方正小标宋简体" w:eastAsia="方正小标宋简体" w:hint="eastAsia"/>
          <w:sz w:val="36"/>
          <w:szCs w:val="36"/>
        </w:rPr>
        <w:t>（定位终端）建设项目</w:t>
      </w:r>
      <w:r w:rsidRPr="00F17F4F">
        <w:rPr>
          <w:rFonts w:ascii="方正小标宋简体" w:eastAsia="方正小标宋简体" w:hint="eastAsia"/>
          <w:sz w:val="36"/>
          <w:szCs w:val="36"/>
        </w:rPr>
        <w:t>投资概算总表</w:t>
      </w:r>
    </w:p>
    <w:tbl>
      <w:tblPr>
        <w:tblStyle w:val="aa"/>
        <w:tblW w:w="8522" w:type="dxa"/>
        <w:tblBorders>
          <w:top w:val="double" w:sz="4" w:space="0" w:color="auto"/>
          <w:left w:val="double" w:sz="4" w:space="0" w:color="auto"/>
          <w:bottom w:val="double" w:sz="4" w:space="0" w:color="auto"/>
          <w:right w:val="double" w:sz="4" w:space="0" w:color="auto"/>
        </w:tblBorders>
        <w:tblLayout w:type="fixed"/>
        <w:tblLook w:val="04A0"/>
      </w:tblPr>
      <w:tblGrid>
        <w:gridCol w:w="849"/>
        <w:gridCol w:w="3411"/>
        <w:gridCol w:w="1794"/>
        <w:gridCol w:w="2468"/>
      </w:tblGrid>
      <w:tr w:rsidR="00F17F4F" w:rsidTr="00F17F4F">
        <w:tc>
          <w:tcPr>
            <w:tcW w:w="849" w:type="dxa"/>
            <w:tcBorders>
              <w:tl2br w:val="nil"/>
              <w:tr2bl w:val="nil"/>
            </w:tcBorders>
            <w:vAlign w:val="center"/>
          </w:tcPr>
          <w:p w:rsidR="00F17F4F" w:rsidRPr="00F17F4F" w:rsidRDefault="00F17F4F" w:rsidP="00E149A4">
            <w:pPr>
              <w:jc w:val="center"/>
              <w:rPr>
                <w:rFonts w:ascii="仿宋_GB2312" w:eastAsia="仿宋_GB2312" w:hAnsi="Times New Roman" w:cs="Times New Roman" w:hint="eastAsia"/>
                <w:b/>
                <w:sz w:val="24"/>
                <w:szCs w:val="24"/>
              </w:rPr>
            </w:pPr>
            <w:r w:rsidRPr="00F17F4F">
              <w:rPr>
                <w:rFonts w:ascii="仿宋_GB2312" w:eastAsia="仿宋_GB2312" w:hAnsi="Times New Roman" w:cs="Times New Roman" w:hint="eastAsia"/>
                <w:b/>
                <w:sz w:val="24"/>
                <w:szCs w:val="24"/>
              </w:rPr>
              <w:t>序号</w:t>
            </w:r>
          </w:p>
        </w:tc>
        <w:tc>
          <w:tcPr>
            <w:tcW w:w="3411" w:type="dxa"/>
            <w:tcBorders>
              <w:tl2br w:val="nil"/>
              <w:tr2bl w:val="nil"/>
            </w:tcBorders>
            <w:vAlign w:val="center"/>
          </w:tcPr>
          <w:p w:rsidR="00F17F4F" w:rsidRPr="00F17F4F" w:rsidRDefault="00F17F4F" w:rsidP="00E149A4">
            <w:pPr>
              <w:jc w:val="center"/>
              <w:rPr>
                <w:rFonts w:ascii="仿宋_GB2312" w:eastAsia="仿宋_GB2312" w:hAnsi="Times New Roman" w:cs="Times New Roman" w:hint="eastAsia"/>
                <w:b/>
                <w:sz w:val="24"/>
                <w:szCs w:val="24"/>
              </w:rPr>
            </w:pPr>
            <w:r w:rsidRPr="00F17F4F">
              <w:rPr>
                <w:rFonts w:ascii="仿宋_GB2312" w:eastAsia="仿宋_GB2312" w:hAnsi="Times New Roman" w:cs="Times New Roman" w:hint="eastAsia"/>
                <w:b/>
                <w:sz w:val="24"/>
                <w:szCs w:val="24"/>
              </w:rPr>
              <w:t>项目费用名称</w:t>
            </w:r>
          </w:p>
        </w:tc>
        <w:tc>
          <w:tcPr>
            <w:tcW w:w="1794" w:type="dxa"/>
            <w:tcBorders>
              <w:tl2br w:val="nil"/>
              <w:tr2bl w:val="nil"/>
            </w:tcBorders>
            <w:vAlign w:val="center"/>
          </w:tcPr>
          <w:p w:rsidR="00F17F4F" w:rsidRPr="00F17F4F" w:rsidRDefault="00F17F4F" w:rsidP="00E149A4">
            <w:pPr>
              <w:jc w:val="center"/>
              <w:rPr>
                <w:rFonts w:ascii="仿宋_GB2312" w:eastAsia="仿宋_GB2312" w:hAnsi="Times New Roman" w:cs="Times New Roman" w:hint="eastAsia"/>
                <w:b/>
                <w:sz w:val="24"/>
                <w:szCs w:val="24"/>
              </w:rPr>
            </w:pPr>
            <w:r w:rsidRPr="00F17F4F">
              <w:rPr>
                <w:rFonts w:ascii="仿宋_GB2312" w:eastAsia="仿宋_GB2312" w:hAnsi="Times New Roman" w:cs="Times New Roman" w:hint="eastAsia"/>
                <w:b/>
                <w:sz w:val="24"/>
                <w:szCs w:val="24"/>
              </w:rPr>
              <w:t>金额（万元）</w:t>
            </w:r>
          </w:p>
        </w:tc>
        <w:tc>
          <w:tcPr>
            <w:tcW w:w="2468" w:type="dxa"/>
            <w:tcBorders>
              <w:tl2br w:val="nil"/>
              <w:tr2bl w:val="nil"/>
            </w:tcBorders>
            <w:vAlign w:val="center"/>
          </w:tcPr>
          <w:p w:rsidR="00F17F4F" w:rsidRPr="00F17F4F" w:rsidRDefault="00F17F4F" w:rsidP="00E149A4">
            <w:pPr>
              <w:jc w:val="center"/>
              <w:rPr>
                <w:rFonts w:ascii="仿宋_GB2312" w:eastAsia="仿宋_GB2312" w:hAnsi="Times New Roman" w:cs="Times New Roman" w:hint="eastAsia"/>
                <w:b/>
                <w:sz w:val="24"/>
                <w:szCs w:val="24"/>
              </w:rPr>
            </w:pPr>
            <w:r w:rsidRPr="00F17F4F">
              <w:rPr>
                <w:rFonts w:ascii="仿宋_GB2312" w:eastAsia="仿宋_GB2312" w:hAnsi="Times New Roman" w:cs="Times New Roman" w:hint="eastAsia"/>
                <w:b/>
                <w:sz w:val="24"/>
                <w:szCs w:val="24"/>
              </w:rPr>
              <w:t>备注</w:t>
            </w:r>
          </w:p>
        </w:tc>
      </w:tr>
      <w:tr w:rsidR="00F17F4F" w:rsidTr="00F17F4F">
        <w:tc>
          <w:tcPr>
            <w:tcW w:w="849" w:type="dxa"/>
            <w:tcBorders>
              <w:tl2br w:val="nil"/>
              <w:tr2bl w:val="nil"/>
            </w:tcBorders>
            <w:vAlign w:val="center"/>
          </w:tcPr>
          <w:p w:rsidR="00F17F4F" w:rsidRPr="00F17F4F" w:rsidRDefault="00F17F4F" w:rsidP="00F17F4F">
            <w:pPr>
              <w:jc w:val="center"/>
              <w:rPr>
                <w:rFonts w:ascii="Times New Roman" w:hAnsi="Times New Roman" w:cs="Times New Roman"/>
                <w:b/>
                <w:sz w:val="24"/>
              </w:rPr>
            </w:pPr>
            <w:proofErr w:type="gramStart"/>
            <w:r w:rsidRPr="00F17F4F">
              <w:rPr>
                <w:rFonts w:ascii="Times New Roman" w:hAnsi="Times New Roman" w:cs="Times New Roman"/>
                <w:b/>
                <w:sz w:val="24"/>
                <w:szCs w:val="24"/>
              </w:rPr>
              <w:t>一</w:t>
            </w:r>
            <w:proofErr w:type="gramEnd"/>
          </w:p>
        </w:tc>
        <w:tc>
          <w:tcPr>
            <w:tcW w:w="3411" w:type="dxa"/>
            <w:tcBorders>
              <w:tl2br w:val="nil"/>
              <w:tr2bl w:val="nil"/>
            </w:tcBorders>
            <w:vAlign w:val="center"/>
          </w:tcPr>
          <w:p w:rsidR="00F17F4F" w:rsidRPr="00F17F4F" w:rsidRDefault="00F17F4F" w:rsidP="00F17F4F">
            <w:pPr>
              <w:jc w:val="center"/>
              <w:rPr>
                <w:rFonts w:ascii="Times New Roman" w:hAnsi="Times New Roman" w:cs="Times New Roman"/>
                <w:b/>
                <w:sz w:val="24"/>
              </w:rPr>
            </w:pPr>
            <w:r w:rsidRPr="00F17F4F">
              <w:rPr>
                <w:rFonts w:ascii="Times New Roman" w:hAnsi="Times New Roman" w:cs="Times New Roman"/>
                <w:b/>
                <w:sz w:val="24"/>
                <w:szCs w:val="24"/>
              </w:rPr>
              <w:t>工程费</w:t>
            </w:r>
          </w:p>
        </w:tc>
        <w:tc>
          <w:tcPr>
            <w:tcW w:w="1794" w:type="dxa"/>
            <w:tcBorders>
              <w:tl2br w:val="nil"/>
              <w:tr2bl w:val="nil"/>
            </w:tcBorders>
            <w:vAlign w:val="center"/>
          </w:tcPr>
          <w:p w:rsidR="00F17F4F" w:rsidRPr="00F17F4F" w:rsidRDefault="00F17F4F" w:rsidP="00F17F4F">
            <w:pPr>
              <w:jc w:val="center"/>
              <w:rPr>
                <w:rFonts w:ascii="Times New Roman" w:hAnsi="Times New Roman" w:cs="Times New Roman"/>
                <w:b/>
                <w:sz w:val="24"/>
              </w:rPr>
            </w:pPr>
            <w:r w:rsidRPr="00F17F4F">
              <w:rPr>
                <w:rFonts w:ascii="Times New Roman" w:hAnsi="Times New Roman" w:cs="Times New Roman"/>
                <w:b/>
                <w:sz w:val="24"/>
                <w:szCs w:val="24"/>
              </w:rPr>
              <w:t>2557.00</w:t>
            </w:r>
          </w:p>
        </w:tc>
        <w:tc>
          <w:tcPr>
            <w:tcW w:w="2468" w:type="dxa"/>
            <w:tcBorders>
              <w:tl2br w:val="nil"/>
              <w:tr2bl w:val="nil"/>
            </w:tcBorders>
            <w:vAlign w:val="center"/>
          </w:tcPr>
          <w:p w:rsidR="00F17F4F" w:rsidRPr="00F17F4F" w:rsidRDefault="00F17F4F" w:rsidP="00F17F4F">
            <w:pPr>
              <w:jc w:val="center"/>
              <w:rPr>
                <w:rFonts w:ascii="Times New Roman" w:hAnsi="Times New Roman" w:cs="Times New Roman"/>
                <w:b/>
                <w:sz w:val="24"/>
              </w:rPr>
            </w:pPr>
            <w:r w:rsidRPr="00F17F4F">
              <w:rPr>
                <w:rFonts w:ascii="Times New Roman" w:hAnsi="Times New Roman" w:cs="Times New Roman"/>
                <w:b/>
                <w:sz w:val="24"/>
                <w:szCs w:val="24"/>
              </w:rPr>
              <w:t>1+2</w:t>
            </w:r>
            <w:r w:rsidRPr="00F17F4F">
              <w:rPr>
                <w:rFonts w:ascii="Times New Roman" w:hAnsi="Times New Roman" w:cs="Times New Roman" w:hint="eastAsia"/>
                <w:b/>
                <w:sz w:val="24"/>
                <w:szCs w:val="24"/>
              </w:rPr>
              <w:t>+3</w:t>
            </w:r>
          </w:p>
        </w:tc>
      </w:tr>
      <w:tr w:rsidR="00F17F4F" w:rsidTr="00F17F4F">
        <w:tc>
          <w:tcPr>
            <w:tcW w:w="849" w:type="dxa"/>
            <w:tcBorders>
              <w:tl2br w:val="nil"/>
              <w:tr2bl w:val="nil"/>
            </w:tcBorders>
            <w:vAlign w:val="center"/>
          </w:tcPr>
          <w:p w:rsidR="00F17F4F" w:rsidRDefault="00F17F4F" w:rsidP="00F17F4F">
            <w:pPr>
              <w:jc w:val="center"/>
              <w:rPr>
                <w:rFonts w:ascii="Times New Roman" w:hAnsi="Times New Roman" w:cs="Times New Roman"/>
                <w:sz w:val="24"/>
              </w:rPr>
            </w:pPr>
            <w:r>
              <w:rPr>
                <w:rFonts w:ascii="Times New Roman" w:hAnsi="Times New Roman" w:cs="Times New Roman"/>
                <w:sz w:val="24"/>
                <w:szCs w:val="24"/>
              </w:rPr>
              <w:t>1</w:t>
            </w:r>
          </w:p>
        </w:tc>
        <w:tc>
          <w:tcPr>
            <w:tcW w:w="3411" w:type="dxa"/>
            <w:tcBorders>
              <w:tl2br w:val="nil"/>
              <w:tr2bl w:val="nil"/>
            </w:tcBorders>
            <w:vAlign w:val="center"/>
          </w:tcPr>
          <w:p w:rsidR="00F17F4F" w:rsidRDefault="00F17F4F" w:rsidP="00F17F4F">
            <w:pPr>
              <w:jc w:val="left"/>
              <w:rPr>
                <w:rFonts w:ascii="Times New Roman" w:hAnsi="Times New Roman" w:cs="Times New Roman"/>
                <w:sz w:val="24"/>
              </w:rPr>
            </w:pPr>
            <w:r>
              <w:rPr>
                <w:rFonts w:ascii="Times New Roman" w:hAnsi="Times New Roman" w:cs="Times New Roman"/>
                <w:sz w:val="24"/>
                <w:szCs w:val="24"/>
              </w:rPr>
              <w:t>福建省小型海洋渔船固定式北斗示位仪（定位终端）装备费用</w:t>
            </w:r>
          </w:p>
        </w:tc>
        <w:tc>
          <w:tcPr>
            <w:tcW w:w="1794" w:type="dxa"/>
            <w:tcBorders>
              <w:tl2br w:val="nil"/>
              <w:tr2bl w:val="nil"/>
            </w:tcBorders>
            <w:vAlign w:val="center"/>
          </w:tcPr>
          <w:p w:rsidR="00F17F4F" w:rsidRDefault="00F17F4F" w:rsidP="00F17F4F">
            <w:pPr>
              <w:jc w:val="center"/>
              <w:rPr>
                <w:rFonts w:ascii="Times New Roman" w:hAnsi="Times New Roman" w:cs="Times New Roman"/>
                <w:sz w:val="24"/>
              </w:rPr>
            </w:pPr>
            <w:r>
              <w:rPr>
                <w:rFonts w:ascii="Times New Roman" w:hAnsi="Times New Roman" w:cs="Times New Roman"/>
                <w:sz w:val="24"/>
                <w:szCs w:val="24"/>
              </w:rPr>
              <w:t>2160.00</w:t>
            </w:r>
          </w:p>
        </w:tc>
        <w:tc>
          <w:tcPr>
            <w:tcW w:w="2468" w:type="dxa"/>
            <w:tcBorders>
              <w:tl2br w:val="nil"/>
              <w:tr2bl w:val="nil"/>
            </w:tcBorders>
            <w:vAlign w:val="center"/>
          </w:tcPr>
          <w:p w:rsidR="00F17F4F" w:rsidRDefault="00F17F4F" w:rsidP="00F17F4F">
            <w:pPr>
              <w:jc w:val="center"/>
              <w:rPr>
                <w:rFonts w:ascii="Times New Roman" w:hAnsi="Times New Roman" w:cs="Times New Roman"/>
                <w:sz w:val="24"/>
              </w:rPr>
            </w:pPr>
          </w:p>
        </w:tc>
      </w:tr>
      <w:tr w:rsidR="00F17F4F" w:rsidTr="00F17F4F">
        <w:tc>
          <w:tcPr>
            <w:tcW w:w="849" w:type="dxa"/>
            <w:tcBorders>
              <w:tl2br w:val="nil"/>
              <w:tr2bl w:val="nil"/>
            </w:tcBorders>
            <w:vAlign w:val="center"/>
          </w:tcPr>
          <w:p w:rsidR="00F17F4F" w:rsidRDefault="00F17F4F" w:rsidP="00F17F4F">
            <w:pPr>
              <w:jc w:val="center"/>
              <w:rPr>
                <w:rFonts w:ascii="Times New Roman" w:hAnsi="Times New Roman" w:cs="Times New Roman"/>
                <w:sz w:val="24"/>
              </w:rPr>
            </w:pPr>
            <w:r>
              <w:rPr>
                <w:rFonts w:ascii="Times New Roman" w:hAnsi="Times New Roman" w:cs="Times New Roman"/>
                <w:sz w:val="24"/>
                <w:szCs w:val="24"/>
              </w:rPr>
              <w:t>2</w:t>
            </w:r>
          </w:p>
        </w:tc>
        <w:tc>
          <w:tcPr>
            <w:tcW w:w="3411" w:type="dxa"/>
            <w:tcBorders>
              <w:tl2br w:val="nil"/>
              <w:tr2bl w:val="nil"/>
            </w:tcBorders>
            <w:vAlign w:val="center"/>
          </w:tcPr>
          <w:p w:rsidR="00F17F4F" w:rsidRDefault="00F17F4F" w:rsidP="00F17F4F">
            <w:pPr>
              <w:jc w:val="left"/>
              <w:rPr>
                <w:rFonts w:ascii="Times New Roman" w:hAnsi="Times New Roman" w:cs="Times New Roman"/>
                <w:sz w:val="24"/>
              </w:rPr>
            </w:pPr>
            <w:r>
              <w:rPr>
                <w:rFonts w:ascii="Times New Roman" w:hAnsi="Times New Roman" w:cs="Times New Roman"/>
                <w:sz w:val="24"/>
                <w:szCs w:val="24"/>
              </w:rPr>
              <w:t>福建省</w:t>
            </w:r>
            <w:r>
              <w:rPr>
                <w:rFonts w:ascii="Times New Roman" w:hAnsi="Times New Roman" w:cs="Times New Roman"/>
                <w:sz w:val="24"/>
                <w:szCs w:val="24"/>
              </w:rPr>
              <w:t>AIS</w:t>
            </w:r>
            <w:r>
              <w:rPr>
                <w:rFonts w:ascii="Times New Roman" w:hAnsi="Times New Roman" w:cs="Times New Roman"/>
                <w:sz w:val="24"/>
                <w:szCs w:val="24"/>
              </w:rPr>
              <w:t>数据服务费</w:t>
            </w:r>
          </w:p>
        </w:tc>
        <w:tc>
          <w:tcPr>
            <w:tcW w:w="1794" w:type="dxa"/>
            <w:tcBorders>
              <w:tl2br w:val="nil"/>
              <w:tr2bl w:val="nil"/>
            </w:tcBorders>
            <w:vAlign w:val="center"/>
          </w:tcPr>
          <w:p w:rsidR="00F17F4F" w:rsidRDefault="00F17F4F" w:rsidP="00F17F4F">
            <w:pPr>
              <w:jc w:val="center"/>
              <w:rPr>
                <w:rFonts w:ascii="Times New Roman" w:hAnsi="Times New Roman" w:cs="Times New Roman"/>
                <w:sz w:val="24"/>
              </w:rPr>
            </w:pPr>
            <w:r>
              <w:rPr>
                <w:rFonts w:ascii="Times New Roman" w:hAnsi="Times New Roman" w:cs="Times New Roman"/>
                <w:sz w:val="24"/>
                <w:szCs w:val="24"/>
              </w:rPr>
              <w:t>380.00</w:t>
            </w:r>
          </w:p>
        </w:tc>
        <w:tc>
          <w:tcPr>
            <w:tcW w:w="2468" w:type="dxa"/>
            <w:tcBorders>
              <w:tl2br w:val="nil"/>
              <w:tr2bl w:val="nil"/>
            </w:tcBorders>
            <w:vAlign w:val="center"/>
          </w:tcPr>
          <w:p w:rsidR="00F17F4F" w:rsidRDefault="00F17F4F" w:rsidP="00F17F4F">
            <w:pPr>
              <w:jc w:val="center"/>
              <w:rPr>
                <w:rFonts w:ascii="Times New Roman" w:hAnsi="Times New Roman" w:cs="Times New Roman"/>
                <w:sz w:val="24"/>
              </w:rPr>
            </w:pPr>
          </w:p>
        </w:tc>
      </w:tr>
      <w:tr w:rsidR="00F17F4F" w:rsidTr="00F17F4F">
        <w:tc>
          <w:tcPr>
            <w:tcW w:w="849" w:type="dxa"/>
            <w:tcBorders>
              <w:tl2br w:val="nil"/>
              <w:tr2bl w:val="nil"/>
            </w:tcBorders>
            <w:vAlign w:val="center"/>
          </w:tcPr>
          <w:p w:rsidR="00F17F4F" w:rsidRDefault="00F17F4F" w:rsidP="00F17F4F">
            <w:pPr>
              <w:jc w:val="center"/>
              <w:rPr>
                <w:rFonts w:ascii="Times New Roman" w:hAnsi="Times New Roman" w:cs="Times New Roman"/>
                <w:sz w:val="24"/>
              </w:rPr>
            </w:pPr>
            <w:r>
              <w:rPr>
                <w:rFonts w:ascii="Times New Roman" w:hAnsi="Times New Roman" w:cs="Times New Roman"/>
                <w:sz w:val="24"/>
                <w:szCs w:val="24"/>
              </w:rPr>
              <w:t>3</w:t>
            </w:r>
          </w:p>
        </w:tc>
        <w:tc>
          <w:tcPr>
            <w:tcW w:w="3411" w:type="dxa"/>
            <w:tcBorders>
              <w:tl2br w:val="nil"/>
              <w:tr2bl w:val="nil"/>
            </w:tcBorders>
            <w:vAlign w:val="center"/>
          </w:tcPr>
          <w:p w:rsidR="00F17F4F" w:rsidRDefault="00F17F4F" w:rsidP="00F17F4F">
            <w:pPr>
              <w:jc w:val="left"/>
              <w:rPr>
                <w:rFonts w:ascii="Times New Roman" w:hAnsi="Times New Roman" w:cs="Times New Roman"/>
                <w:sz w:val="24"/>
              </w:rPr>
            </w:pPr>
            <w:r>
              <w:rPr>
                <w:rFonts w:ascii="Times New Roman" w:hAnsi="Times New Roman" w:cs="Times New Roman"/>
                <w:sz w:val="24"/>
                <w:szCs w:val="24"/>
              </w:rPr>
              <w:t>海洋与渔业安全应急指挥决策支持系统接口对接费用</w:t>
            </w:r>
          </w:p>
        </w:tc>
        <w:tc>
          <w:tcPr>
            <w:tcW w:w="1794" w:type="dxa"/>
            <w:tcBorders>
              <w:tl2br w:val="nil"/>
              <w:tr2bl w:val="nil"/>
            </w:tcBorders>
            <w:vAlign w:val="center"/>
          </w:tcPr>
          <w:p w:rsidR="00F17F4F" w:rsidRDefault="00F17F4F" w:rsidP="00F17F4F">
            <w:pPr>
              <w:jc w:val="center"/>
              <w:rPr>
                <w:rFonts w:ascii="Times New Roman" w:hAnsi="Times New Roman" w:cs="Times New Roman"/>
                <w:sz w:val="24"/>
              </w:rPr>
            </w:pPr>
            <w:r>
              <w:rPr>
                <w:rFonts w:ascii="Times New Roman" w:hAnsi="Times New Roman" w:cs="Times New Roman"/>
                <w:sz w:val="24"/>
                <w:szCs w:val="24"/>
              </w:rPr>
              <w:t>17.00</w:t>
            </w:r>
          </w:p>
        </w:tc>
        <w:tc>
          <w:tcPr>
            <w:tcW w:w="2468" w:type="dxa"/>
            <w:tcBorders>
              <w:tl2br w:val="nil"/>
              <w:tr2bl w:val="nil"/>
            </w:tcBorders>
            <w:vAlign w:val="center"/>
          </w:tcPr>
          <w:p w:rsidR="00F17F4F" w:rsidRDefault="00F17F4F" w:rsidP="00F17F4F">
            <w:pPr>
              <w:jc w:val="center"/>
              <w:rPr>
                <w:rFonts w:ascii="Times New Roman" w:hAnsi="Times New Roman" w:cs="Times New Roman"/>
                <w:sz w:val="24"/>
              </w:rPr>
            </w:pPr>
          </w:p>
        </w:tc>
      </w:tr>
      <w:tr w:rsidR="00F17F4F" w:rsidTr="00F17F4F">
        <w:tc>
          <w:tcPr>
            <w:tcW w:w="849" w:type="dxa"/>
            <w:tcBorders>
              <w:tl2br w:val="nil"/>
              <w:tr2bl w:val="nil"/>
            </w:tcBorders>
            <w:vAlign w:val="center"/>
          </w:tcPr>
          <w:p w:rsidR="00F17F4F" w:rsidRPr="00F17F4F" w:rsidRDefault="00F17F4F" w:rsidP="00F17F4F">
            <w:pPr>
              <w:jc w:val="center"/>
              <w:rPr>
                <w:rFonts w:ascii="Times New Roman" w:hAnsi="Times New Roman" w:cs="Times New Roman"/>
                <w:b/>
                <w:sz w:val="24"/>
              </w:rPr>
            </w:pPr>
            <w:r w:rsidRPr="00F17F4F">
              <w:rPr>
                <w:rFonts w:ascii="Times New Roman" w:hAnsi="Times New Roman" w:cs="Times New Roman"/>
                <w:b/>
                <w:sz w:val="24"/>
                <w:szCs w:val="24"/>
              </w:rPr>
              <w:t>二</w:t>
            </w:r>
          </w:p>
        </w:tc>
        <w:tc>
          <w:tcPr>
            <w:tcW w:w="3411" w:type="dxa"/>
            <w:tcBorders>
              <w:tl2br w:val="nil"/>
              <w:tr2bl w:val="nil"/>
            </w:tcBorders>
            <w:vAlign w:val="center"/>
          </w:tcPr>
          <w:p w:rsidR="00F17F4F" w:rsidRPr="00F17F4F" w:rsidRDefault="00F17F4F" w:rsidP="00F17F4F">
            <w:pPr>
              <w:jc w:val="center"/>
              <w:rPr>
                <w:rFonts w:ascii="Times New Roman" w:hAnsi="Times New Roman" w:cs="Times New Roman"/>
                <w:b/>
                <w:sz w:val="24"/>
              </w:rPr>
            </w:pPr>
            <w:r w:rsidRPr="00F17F4F">
              <w:rPr>
                <w:rFonts w:ascii="Times New Roman" w:hAnsi="Times New Roman" w:cs="Times New Roman"/>
                <w:b/>
                <w:sz w:val="24"/>
                <w:szCs w:val="24"/>
              </w:rPr>
              <w:t>项目其他费用</w:t>
            </w:r>
          </w:p>
        </w:tc>
        <w:tc>
          <w:tcPr>
            <w:tcW w:w="1794" w:type="dxa"/>
            <w:tcBorders>
              <w:tl2br w:val="nil"/>
              <w:tr2bl w:val="nil"/>
            </w:tcBorders>
            <w:vAlign w:val="center"/>
          </w:tcPr>
          <w:p w:rsidR="00F17F4F" w:rsidRPr="00F17F4F" w:rsidRDefault="00F17F4F" w:rsidP="00F17F4F">
            <w:pPr>
              <w:jc w:val="center"/>
              <w:rPr>
                <w:rFonts w:ascii="Times New Roman" w:hAnsi="Times New Roman" w:cs="Times New Roman"/>
                <w:b/>
                <w:sz w:val="24"/>
              </w:rPr>
            </w:pPr>
            <w:r w:rsidRPr="00F17F4F">
              <w:rPr>
                <w:rFonts w:ascii="Times New Roman" w:hAnsi="Times New Roman" w:cs="Times New Roman"/>
                <w:b/>
                <w:sz w:val="24"/>
                <w:szCs w:val="24"/>
              </w:rPr>
              <w:t>230.13</w:t>
            </w:r>
          </w:p>
        </w:tc>
        <w:tc>
          <w:tcPr>
            <w:tcW w:w="2468" w:type="dxa"/>
            <w:tcBorders>
              <w:tl2br w:val="nil"/>
              <w:tr2bl w:val="nil"/>
            </w:tcBorders>
            <w:vAlign w:val="center"/>
          </w:tcPr>
          <w:p w:rsidR="00F17F4F" w:rsidRPr="00F17F4F" w:rsidRDefault="00F17F4F" w:rsidP="00F17F4F">
            <w:pPr>
              <w:jc w:val="center"/>
              <w:rPr>
                <w:rFonts w:ascii="Times New Roman" w:hAnsi="Times New Roman" w:cs="Times New Roman"/>
                <w:b/>
                <w:sz w:val="24"/>
              </w:rPr>
            </w:pPr>
          </w:p>
        </w:tc>
      </w:tr>
      <w:tr w:rsidR="00F17F4F" w:rsidTr="00F17F4F">
        <w:tc>
          <w:tcPr>
            <w:tcW w:w="849" w:type="dxa"/>
            <w:tcBorders>
              <w:tl2br w:val="nil"/>
              <w:tr2bl w:val="nil"/>
            </w:tcBorders>
            <w:vAlign w:val="center"/>
          </w:tcPr>
          <w:p w:rsidR="00F17F4F" w:rsidRDefault="00F17F4F" w:rsidP="00F17F4F">
            <w:pPr>
              <w:jc w:val="center"/>
              <w:rPr>
                <w:rFonts w:ascii="Times New Roman" w:hAnsi="Times New Roman" w:cs="Times New Roman"/>
                <w:sz w:val="24"/>
              </w:rPr>
            </w:pPr>
            <w:r>
              <w:rPr>
                <w:rFonts w:ascii="Times New Roman" w:hAnsi="Times New Roman" w:cs="Times New Roman"/>
                <w:sz w:val="24"/>
                <w:szCs w:val="24"/>
              </w:rPr>
              <w:t>1</w:t>
            </w:r>
          </w:p>
        </w:tc>
        <w:tc>
          <w:tcPr>
            <w:tcW w:w="3411" w:type="dxa"/>
            <w:tcBorders>
              <w:tl2br w:val="nil"/>
              <w:tr2bl w:val="nil"/>
            </w:tcBorders>
            <w:vAlign w:val="center"/>
          </w:tcPr>
          <w:p w:rsidR="00F17F4F" w:rsidRDefault="00F17F4F" w:rsidP="00F17F4F">
            <w:pPr>
              <w:jc w:val="left"/>
              <w:rPr>
                <w:rFonts w:ascii="Times New Roman" w:hAnsi="Times New Roman" w:cs="Times New Roman"/>
                <w:sz w:val="24"/>
              </w:rPr>
            </w:pPr>
            <w:r>
              <w:rPr>
                <w:rFonts w:ascii="Times New Roman" w:hAnsi="Times New Roman" w:cs="Times New Roman"/>
                <w:sz w:val="24"/>
                <w:szCs w:val="24"/>
              </w:rPr>
              <w:t>系统集成与培训费</w:t>
            </w:r>
          </w:p>
        </w:tc>
        <w:tc>
          <w:tcPr>
            <w:tcW w:w="1794" w:type="dxa"/>
            <w:tcBorders>
              <w:tl2br w:val="nil"/>
              <w:tr2bl w:val="nil"/>
            </w:tcBorders>
            <w:vAlign w:val="center"/>
          </w:tcPr>
          <w:p w:rsidR="00F17F4F" w:rsidRDefault="00F17F4F" w:rsidP="00F17F4F">
            <w:pPr>
              <w:jc w:val="center"/>
              <w:rPr>
                <w:rFonts w:ascii="Times New Roman" w:hAnsi="Times New Roman" w:cs="Times New Roman"/>
                <w:sz w:val="24"/>
              </w:rPr>
            </w:pPr>
            <w:r>
              <w:rPr>
                <w:rFonts w:ascii="Times New Roman" w:hAnsi="Times New Roman" w:cs="Times New Roman"/>
                <w:sz w:val="24"/>
                <w:szCs w:val="24"/>
              </w:rPr>
              <w:t>76.71</w:t>
            </w:r>
          </w:p>
        </w:tc>
        <w:tc>
          <w:tcPr>
            <w:tcW w:w="2468" w:type="dxa"/>
            <w:tcBorders>
              <w:tl2br w:val="nil"/>
              <w:tr2bl w:val="nil"/>
            </w:tcBorders>
            <w:vAlign w:val="center"/>
          </w:tcPr>
          <w:p w:rsidR="00F17F4F" w:rsidRDefault="00F17F4F" w:rsidP="00F17F4F">
            <w:pPr>
              <w:jc w:val="center"/>
              <w:rPr>
                <w:rFonts w:ascii="Times New Roman" w:hAnsi="Times New Roman" w:cs="Times New Roman"/>
                <w:sz w:val="24"/>
              </w:rPr>
            </w:pPr>
            <w:r>
              <w:rPr>
                <w:rFonts w:ascii="Times New Roman" w:hAnsi="Times New Roman" w:cs="Times New Roman"/>
                <w:sz w:val="24"/>
                <w:szCs w:val="24"/>
              </w:rPr>
              <w:t>（工程费用）</w:t>
            </w:r>
            <w:r>
              <w:rPr>
                <w:rFonts w:ascii="Times New Roman" w:hAnsi="Times New Roman" w:cs="Times New Roman"/>
                <w:sz w:val="24"/>
                <w:szCs w:val="24"/>
              </w:rPr>
              <w:t>*3.0%</w:t>
            </w:r>
          </w:p>
        </w:tc>
      </w:tr>
      <w:tr w:rsidR="00F17F4F" w:rsidTr="00F17F4F">
        <w:tc>
          <w:tcPr>
            <w:tcW w:w="849" w:type="dxa"/>
            <w:tcBorders>
              <w:tl2br w:val="nil"/>
              <w:tr2bl w:val="nil"/>
            </w:tcBorders>
            <w:vAlign w:val="center"/>
          </w:tcPr>
          <w:p w:rsidR="00F17F4F" w:rsidRDefault="00F17F4F" w:rsidP="00F17F4F">
            <w:pPr>
              <w:jc w:val="center"/>
              <w:rPr>
                <w:rFonts w:ascii="Times New Roman" w:hAnsi="Times New Roman" w:cs="Times New Roman"/>
                <w:sz w:val="24"/>
              </w:rPr>
            </w:pPr>
            <w:r>
              <w:rPr>
                <w:rFonts w:ascii="Times New Roman" w:hAnsi="Times New Roman" w:cs="Times New Roman"/>
                <w:sz w:val="24"/>
                <w:szCs w:val="24"/>
              </w:rPr>
              <w:t>2</w:t>
            </w:r>
          </w:p>
        </w:tc>
        <w:tc>
          <w:tcPr>
            <w:tcW w:w="3411" w:type="dxa"/>
            <w:tcBorders>
              <w:tl2br w:val="nil"/>
              <w:tr2bl w:val="nil"/>
            </w:tcBorders>
            <w:vAlign w:val="center"/>
          </w:tcPr>
          <w:p w:rsidR="00F17F4F" w:rsidRDefault="00F17F4F" w:rsidP="00F17F4F">
            <w:pPr>
              <w:jc w:val="left"/>
              <w:rPr>
                <w:rFonts w:ascii="Times New Roman" w:hAnsi="Times New Roman" w:cs="Times New Roman"/>
                <w:sz w:val="24"/>
              </w:rPr>
            </w:pPr>
            <w:r>
              <w:rPr>
                <w:rFonts w:ascii="Times New Roman" w:hAnsi="Times New Roman" w:cs="Times New Roman"/>
                <w:sz w:val="24"/>
                <w:szCs w:val="24"/>
              </w:rPr>
              <w:t>系统测试和安全测评费</w:t>
            </w:r>
          </w:p>
        </w:tc>
        <w:tc>
          <w:tcPr>
            <w:tcW w:w="1794" w:type="dxa"/>
            <w:tcBorders>
              <w:tl2br w:val="nil"/>
              <w:tr2bl w:val="nil"/>
            </w:tcBorders>
            <w:vAlign w:val="center"/>
          </w:tcPr>
          <w:p w:rsidR="00F17F4F" w:rsidRDefault="00F17F4F" w:rsidP="00F17F4F">
            <w:pPr>
              <w:jc w:val="center"/>
              <w:rPr>
                <w:rFonts w:ascii="Times New Roman" w:hAnsi="Times New Roman" w:cs="Times New Roman"/>
                <w:sz w:val="24"/>
              </w:rPr>
            </w:pPr>
            <w:r>
              <w:rPr>
                <w:rFonts w:ascii="Times New Roman" w:hAnsi="Times New Roman" w:cs="Times New Roman"/>
                <w:sz w:val="24"/>
                <w:szCs w:val="24"/>
              </w:rPr>
              <w:t>51.14</w:t>
            </w:r>
          </w:p>
        </w:tc>
        <w:tc>
          <w:tcPr>
            <w:tcW w:w="2468" w:type="dxa"/>
            <w:tcBorders>
              <w:tl2br w:val="nil"/>
              <w:tr2bl w:val="nil"/>
            </w:tcBorders>
            <w:vAlign w:val="center"/>
          </w:tcPr>
          <w:p w:rsidR="00F17F4F" w:rsidRDefault="00F17F4F" w:rsidP="00F17F4F">
            <w:pPr>
              <w:jc w:val="center"/>
              <w:rPr>
                <w:rFonts w:ascii="Times New Roman" w:hAnsi="Times New Roman" w:cs="Times New Roman"/>
                <w:sz w:val="24"/>
              </w:rPr>
            </w:pPr>
            <w:r>
              <w:rPr>
                <w:rFonts w:ascii="Times New Roman" w:hAnsi="Times New Roman" w:cs="Times New Roman"/>
                <w:sz w:val="24"/>
                <w:szCs w:val="24"/>
              </w:rPr>
              <w:t>（工程费用）</w:t>
            </w:r>
            <w:r>
              <w:rPr>
                <w:rFonts w:ascii="Times New Roman" w:hAnsi="Times New Roman" w:cs="Times New Roman"/>
                <w:sz w:val="24"/>
                <w:szCs w:val="24"/>
              </w:rPr>
              <w:t>*2.0%</w:t>
            </w:r>
          </w:p>
        </w:tc>
      </w:tr>
      <w:tr w:rsidR="00F17F4F" w:rsidTr="00F17F4F">
        <w:tc>
          <w:tcPr>
            <w:tcW w:w="849" w:type="dxa"/>
            <w:tcBorders>
              <w:tl2br w:val="nil"/>
              <w:tr2bl w:val="nil"/>
            </w:tcBorders>
            <w:vAlign w:val="center"/>
          </w:tcPr>
          <w:p w:rsidR="00F17F4F" w:rsidRDefault="00F17F4F" w:rsidP="00F17F4F">
            <w:pPr>
              <w:jc w:val="center"/>
              <w:rPr>
                <w:rFonts w:ascii="Times New Roman" w:hAnsi="Times New Roman" w:cs="Times New Roman"/>
                <w:sz w:val="24"/>
              </w:rPr>
            </w:pPr>
            <w:r>
              <w:rPr>
                <w:rFonts w:ascii="Times New Roman" w:hAnsi="Times New Roman" w:cs="Times New Roman"/>
                <w:sz w:val="24"/>
                <w:szCs w:val="24"/>
              </w:rPr>
              <w:t>3</w:t>
            </w:r>
          </w:p>
        </w:tc>
        <w:tc>
          <w:tcPr>
            <w:tcW w:w="3411" w:type="dxa"/>
            <w:tcBorders>
              <w:tl2br w:val="nil"/>
              <w:tr2bl w:val="nil"/>
            </w:tcBorders>
            <w:vAlign w:val="center"/>
          </w:tcPr>
          <w:p w:rsidR="00F17F4F" w:rsidRDefault="00F17F4F" w:rsidP="00F17F4F">
            <w:pPr>
              <w:jc w:val="left"/>
              <w:rPr>
                <w:rFonts w:ascii="Times New Roman" w:hAnsi="Times New Roman" w:cs="Times New Roman"/>
                <w:sz w:val="24"/>
              </w:rPr>
            </w:pPr>
            <w:r>
              <w:rPr>
                <w:rFonts w:ascii="Times New Roman" w:hAnsi="Times New Roman" w:cs="Times New Roman"/>
                <w:sz w:val="24"/>
                <w:szCs w:val="24"/>
              </w:rPr>
              <w:t>信息工程监理费</w:t>
            </w:r>
          </w:p>
        </w:tc>
        <w:tc>
          <w:tcPr>
            <w:tcW w:w="1794" w:type="dxa"/>
            <w:tcBorders>
              <w:tl2br w:val="nil"/>
              <w:tr2bl w:val="nil"/>
            </w:tcBorders>
            <w:vAlign w:val="center"/>
          </w:tcPr>
          <w:p w:rsidR="00F17F4F" w:rsidRDefault="00F17F4F" w:rsidP="00F17F4F">
            <w:pPr>
              <w:jc w:val="center"/>
              <w:rPr>
                <w:rFonts w:ascii="Times New Roman" w:hAnsi="Times New Roman" w:cs="Times New Roman"/>
                <w:sz w:val="24"/>
              </w:rPr>
            </w:pPr>
            <w:r>
              <w:rPr>
                <w:rFonts w:ascii="Times New Roman" w:hAnsi="Times New Roman" w:cs="Times New Roman"/>
                <w:sz w:val="24"/>
                <w:szCs w:val="24"/>
              </w:rPr>
              <w:t>51.14</w:t>
            </w:r>
          </w:p>
        </w:tc>
        <w:tc>
          <w:tcPr>
            <w:tcW w:w="2468" w:type="dxa"/>
            <w:tcBorders>
              <w:tl2br w:val="nil"/>
              <w:tr2bl w:val="nil"/>
            </w:tcBorders>
            <w:vAlign w:val="center"/>
          </w:tcPr>
          <w:p w:rsidR="00F17F4F" w:rsidRDefault="00F17F4F" w:rsidP="00F17F4F">
            <w:pPr>
              <w:jc w:val="center"/>
              <w:rPr>
                <w:rFonts w:ascii="Times New Roman" w:hAnsi="Times New Roman" w:cs="Times New Roman"/>
                <w:sz w:val="24"/>
              </w:rPr>
            </w:pPr>
            <w:r>
              <w:rPr>
                <w:rFonts w:ascii="Times New Roman" w:hAnsi="Times New Roman" w:cs="Times New Roman"/>
                <w:sz w:val="24"/>
                <w:szCs w:val="24"/>
              </w:rPr>
              <w:t>（工程费用）</w:t>
            </w:r>
            <w:r>
              <w:rPr>
                <w:rFonts w:ascii="Times New Roman" w:hAnsi="Times New Roman" w:cs="Times New Roman"/>
                <w:sz w:val="24"/>
                <w:szCs w:val="24"/>
              </w:rPr>
              <w:t>*2.0%</w:t>
            </w:r>
          </w:p>
        </w:tc>
      </w:tr>
      <w:tr w:rsidR="00F17F4F" w:rsidTr="00F17F4F">
        <w:tc>
          <w:tcPr>
            <w:tcW w:w="849" w:type="dxa"/>
            <w:tcBorders>
              <w:tl2br w:val="nil"/>
              <w:tr2bl w:val="nil"/>
            </w:tcBorders>
            <w:vAlign w:val="center"/>
          </w:tcPr>
          <w:p w:rsidR="00F17F4F" w:rsidRDefault="00F17F4F" w:rsidP="00F17F4F">
            <w:pPr>
              <w:jc w:val="center"/>
              <w:rPr>
                <w:rFonts w:ascii="Times New Roman" w:hAnsi="Times New Roman" w:cs="Times New Roman"/>
                <w:sz w:val="24"/>
              </w:rPr>
            </w:pPr>
            <w:r>
              <w:rPr>
                <w:rFonts w:ascii="Times New Roman" w:hAnsi="Times New Roman" w:cs="Times New Roman"/>
                <w:sz w:val="24"/>
                <w:szCs w:val="24"/>
              </w:rPr>
              <w:t>4</w:t>
            </w:r>
          </w:p>
        </w:tc>
        <w:tc>
          <w:tcPr>
            <w:tcW w:w="3411" w:type="dxa"/>
            <w:tcBorders>
              <w:tl2br w:val="nil"/>
              <w:tr2bl w:val="nil"/>
            </w:tcBorders>
            <w:vAlign w:val="center"/>
          </w:tcPr>
          <w:p w:rsidR="00F17F4F" w:rsidRDefault="00F17F4F" w:rsidP="00F17F4F">
            <w:pPr>
              <w:jc w:val="left"/>
              <w:rPr>
                <w:rFonts w:ascii="Times New Roman" w:hAnsi="Times New Roman" w:cs="Times New Roman"/>
                <w:sz w:val="24"/>
              </w:rPr>
            </w:pPr>
            <w:r>
              <w:rPr>
                <w:rFonts w:ascii="Times New Roman" w:hAnsi="Times New Roman" w:cs="Times New Roman"/>
                <w:sz w:val="24"/>
                <w:szCs w:val="24"/>
              </w:rPr>
              <w:t>项目管理与可</w:t>
            </w:r>
            <w:proofErr w:type="gramStart"/>
            <w:r>
              <w:rPr>
                <w:rFonts w:ascii="Times New Roman" w:hAnsi="Times New Roman" w:cs="Times New Roman"/>
                <w:sz w:val="24"/>
                <w:szCs w:val="24"/>
              </w:rPr>
              <w:t>研</w:t>
            </w:r>
            <w:proofErr w:type="gramEnd"/>
            <w:r>
              <w:rPr>
                <w:rFonts w:ascii="Times New Roman" w:hAnsi="Times New Roman" w:cs="Times New Roman"/>
                <w:sz w:val="24"/>
                <w:szCs w:val="24"/>
              </w:rPr>
              <w:t>暨初设编制费</w:t>
            </w:r>
          </w:p>
        </w:tc>
        <w:tc>
          <w:tcPr>
            <w:tcW w:w="1794" w:type="dxa"/>
            <w:tcBorders>
              <w:tl2br w:val="nil"/>
              <w:tr2bl w:val="nil"/>
            </w:tcBorders>
            <w:vAlign w:val="center"/>
          </w:tcPr>
          <w:p w:rsidR="00F17F4F" w:rsidRDefault="00F17F4F" w:rsidP="00F17F4F">
            <w:pPr>
              <w:jc w:val="center"/>
              <w:rPr>
                <w:rFonts w:ascii="Times New Roman" w:hAnsi="Times New Roman" w:cs="Times New Roman"/>
                <w:sz w:val="24"/>
              </w:rPr>
            </w:pPr>
            <w:r>
              <w:rPr>
                <w:rFonts w:ascii="Times New Roman" w:hAnsi="Times New Roman" w:cs="Times New Roman"/>
                <w:sz w:val="24"/>
                <w:szCs w:val="24"/>
              </w:rPr>
              <w:t>51.14</w:t>
            </w:r>
          </w:p>
        </w:tc>
        <w:tc>
          <w:tcPr>
            <w:tcW w:w="2468" w:type="dxa"/>
            <w:tcBorders>
              <w:tl2br w:val="nil"/>
              <w:tr2bl w:val="nil"/>
            </w:tcBorders>
            <w:vAlign w:val="center"/>
          </w:tcPr>
          <w:p w:rsidR="00F17F4F" w:rsidRDefault="00F17F4F" w:rsidP="00F17F4F">
            <w:pPr>
              <w:jc w:val="center"/>
              <w:rPr>
                <w:rFonts w:ascii="Times New Roman" w:hAnsi="Times New Roman" w:cs="Times New Roman"/>
                <w:sz w:val="24"/>
              </w:rPr>
            </w:pPr>
            <w:r>
              <w:rPr>
                <w:rFonts w:ascii="Times New Roman" w:hAnsi="Times New Roman" w:cs="Times New Roman"/>
                <w:sz w:val="24"/>
                <w:szCs w:val="24"/>
              </w:rPr>
              <w:t>（工程费用）</w:t>
            </w:r>
            <w:r>
              <w:rPr>
                <w:rFonts w:ascii="Times New Roman" w:hAnsi="Times New Roman" w:cs="Times New Roman"/>
                <w:sz w:val="24"/>
                <w:szCs w:val="24"/>
              </w:rPr>
              <w:t>*2.0%</w:t>
            </w:r>
          </w:p>
        </w:tc>
      </w:tr>
      <w:tr w:rsidR="00F17F4F" w:rsidTr="00F17F4F">
        <w:tc>
          <w:tcPr>
            <w:tcW w:w="4260" w:type="dxa"/>
            <w:gridSpan w:val="2"/>
            <w:tcBorders>
              <w:tl2br w:val="nil"/>
              <w:tr2bl w:val="nil"/>
            </w:tcBorders>
            <w:vAlign w:val="center"/>
          </w:tcPr>
          <w:p w:rsidR="00F17F4F" w:rsidRPr="00F17F4F" w:rsidRDefault="00F17F4F" w:rsidP="00F17F4F">
            <w:pPr>
              <w:jc w:val="center"/>
              <w:rPr>
                <w:rFonts w:ascii="Times New Roman" w:hAnsi="Times New Roman" w:cs="Times New Roman"/>
                <w:b/>
                <w:sz w:val="24"/>
              </w:rPr>
            </w:pPr>
            <w:r w:rsidRPr="00F17F4F">
              <w:rPr>
                <w:rFonts w:ascii="Times New Roman" w:hAnsi="Times New Roman" w:cs="Times New Roman"/>
                <w:b/>
                <w:sz w:val="24"/>
                <w:szCs w:val="24"/>
              </w:rPr>
              <w:t>总计</w:t>
            </w:r>
          </w:p>
        </w:tc>
        <w:tc>
          <w:tcPr>
            <w:tcW w:w="1794" w:type="dxa"/>
            <w:tcBorders>
              <w:tl2br w:val="nil"/>
              <w:tr2bl w:val="nil"/>
            </w:tcBorders>
            <w:vAlign w:val="center"/>
          </w:tcPr>
          <w:p w:rsidR="00F17F4F" w:rsidRPr="00F17F4F" w:rsidRDefault="00F17F4F" w:rsidP="00F17F4F">
            <w:pPr>
              <w:jc w:val="center"/>
              <w:rPr>
                <w:rFonts w:ascii="Times New Roman" w:hAnsi="Times New Roman" w:cs="Times New Roman"/>
                <w:b/>
                <w:sz w:val="24"/>
              </w:rPr>
            </w:pPr>
            <w:r w:rsidRPr="00F17F4F">
              <w:rPr>
                <w:rFonts w:ascii="Times New Roman" w:hAnsi="Times New Roman" w:cs="Times New Roman"/>
                <w:b/>
                <w:sz w:val="24"/>
                <w:szCs w:val="24"/>
              </w:rPr>
              <w:t>2787.13</w:t>
            </w:r>
          </w:p>
        </w:tc>
        <w:tc>
          <w:tcPr>
            <w:tcW w:w="2468" w:type="dxa"/>
            <w:tcBorders>
              <w:tl2br w:val="nil"/>
              <w:tr2bl w:val="nil"/>
            </w:tcBorders>
            <w:vAlign w:val="center"/>
          </w:tcPr>
          <w:p w:rsidR="00F17F4F" w:rsidRPr="00F17F4F" w:rsidRDefault="00F17F4F" w:rsidP="00F17F4F">
            <w:pPr>
              <w:jc w:val="center"/>
              <w:rPr>
                <w:rFonts w:ascii="Times New Roman" w:hAnsi="Times New Roman" w:cs="Times New Roman"/>
                <w:b/>
                <w:sz w:val="24"/>
              </w:rPr>
            </w:pPr>
            <w:proofErr w:type="gramStart"/>
            <w:r w:rsidRPr="00F17F4F">
              <w:rPr>
                <w:rFonts w:ascii="Times New Roman" w:hAnsi="Times New Roman" w:cs="Times New Roman"/>
                <w:b/>
                <w:sz w:val="24"/>
                <w:szCs w:val="24"/>
              </w:rPr>
              <w:t>一</w:t>
            </w:r>
            <w:proofErr w:type="gramEnd"/>
            <w:r w:rsidRPr="00F17F4F">
              <w:rPr>
                <w:rFonts w:ascii="Times New Roman" w:hAnsi="Times New Roman" w:cs="Times New Roman"/>
                <w:b/>
                <w:sz w:val="24"/>
                <w:szCs w:val="24"/>
              </w:rPr>
              <w:t>+</w:t>
            </w:r>
            <w:r w:rsidRPr="00F17F4F">
              <w:rPr>
                <w:rFonts w:ascii="Times New Roman" w:hAnsi="Times New Roman" w:cs="Times New Roman"/>
                <w:b/>
                <w:sz w:val="24"/>
                <w:szCs w:val="24"/>
              </w:rPr>
              <w:t>二</w:t>
            </w:r>
          </w:p>
        </w:tc>
      </w:tr>
    </w:tbl>
    <w:p w:rsidR="00F17F4F" w:rsidRDefault="00F17F4F" w:rsidP="00F17F4F">
      <w:pPr>
        <w:rPr>
          <w:sz w:val="28"/>
          <w:szCs w:val="28"/>
        </w:rPr>
      </w:pPr>
      <w:bookmarkStart w:id="2" w:name="_GoBack"/>
      <w:bookmarkEnd w:id="2"/>
    </w:p>
    <w:p w:rsidR="001C3453" w:rsidRDefault="001C3453">
      <w:pPr>
        <w:spacing w:line="560" w:lineRule="exact"/>
        <w:rPr>
          <w:rFonts w:ascii="仿宋_GB2312" w:eastAsia="仿宋_GB2312" w:hAnsi="黑体"/>
          <w:sz w:val="32"/>
          <w:szCs w:val="32"/>
        </w:rPr>
      </w:pPr>
    </w:p>
    <w:sectPr w:rsidR="001C3453" w:rsidSect="00BA4FB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A63" w:rsidRDefault="00F82A63" w:rsidP="00EB4660">
      <w:r>
        <w:separator/>
      </w:r>
    </w:p>
  </w:endnote>
  <w:endnote w:type="continuationSeparator" w:id="1">
    <w:p w:rsidR="00F82A63" w:rsidRDefault="00F82A63" w:rsidP="00EB466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088721"/>
      <w:docPartObj>
        <w:docPartGallery w:val="Page Numbers (Bottom of Page)"/>
        <w:docPartUnique/>
      </w:docPartObj>
    </w:sdtPr>
    <w:sdtContent>
      <w:p w:rsidR="00CA1D8A" w:rsidRDefault="00206D4B">
        <w:pPr>
          <w:pStyle w:val="a5"/>
          <w:jc w:val="center"/>
        </w:pPr>
        <w:r w:rsidRPr="00206D4B">
          <w:fldChar w:fldCharType="begin"/>
        </w:r>
        <w:r w:rsidR="00D00A06">
          <w:instrText xml:space="preserve"> PAGE   \* MERGEFORMAT </w:instrText>
        </w:r>
        <w:r w:rsidRPr="00206D4B">
          <w:fldChar w:fldCharType="separate"/>
        </w:r>
        <w:r w:rsidR="00977BD9" w:rsidRPr="00977BD9">
          <w:rPr>
            <w:noProof/>
            <w:lang w:val="zh-CN"/>
          </w:rPr>
          <w:t>4</w:t>
        </w:r>
        <w:r>
          <w:rPr>
            <w:noProof/>
            <w:lang w:val="zh-CN"/>
          </w:rPr>
          <w:fldChar w:fldCharType="end"/>
        </w:r>
      </w:p>
    </w:sdtContent>
  </w:sdt>
  <w:p w:rsidR="00CA1D8A" w:rsidRDefault="00CA1D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A63" w:rsidRDefault="00F82A63" w:rsidP="00EB4660">
      <w:r>
        <w:separator/>
      </w:r>
    </w:p>
  </w:footnote>
  <w:footnote w:type="continuationSeparator" w:id="1">
    <w:p w:rsidR="00F82A63" w:rsidRDefault="00F82A63" w:rsidP="00EB46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34F72"/>
    <w:multiLevelType w:val="hybridMultilevel"/>
    <w:tmpl w:val="2CB803B0"/>
    <w:lvl w:ilvl="0" w:tplc="F64437A8">
      <w:start w:val="1"/>
      <w:numFmt w:val="chineseCountingThousand"/>
      <w:lvlText w:val="(%1)"/>
      <w:lvlJc w:val="left"/>
      <w:pPr>
        <w:ind w:left="3114" w:hanging="420"/>
      </w:pPr>
      <w:rPr>
        <w:rFonts w:ascii="宋体" w:eastAsia="宋体" w:hAnsi="宋体" w:hint="default"/>
        <w:sz w:val="32"/>
        <w:szCs w:val="32"/>
      </w:rPr>
    </w:lvl>
    <w:lvl w:ilvl="1" w:tplc="04090019" w:tentative="1">
      <w:start w:val="1"/>
      <w:numFmt w:val="lowerLetter"/>
      <w:lvlText w:val="%2)"/>
      <w:lvlJc w:val="left"/>
      <w:pPr>
        <w:ind w:left="3534" w:hanging="420"/>
      </w:pPr>
    </w:lvl>
    <w:lvl w:ilvl="2" w:tplc="0409001B" w:tentative="1">
      <w:start w:val="1"/>
      <w:numFmt w:val="lowerRoman"/>
      <w:lvlText w:val="%3."/>
      <w:lvlJc w:val="right"/>
      <w:pPr>
        <w:ind w:left="3954" w:hanging="420"/>
      </w:pPr>
    </w:lvl>
    <w:lvl w:ilvl="3" w:tplc="0409000F" w:tentative="1">
      <w:start w:val="1"/>
      <w:numFmt w:val="decimal"/>
      <w:lvlText w:val="%4."/>
      <w:lvlJc w:val="left"/>
      <w:pPr>
        <w:ind w:left="4374" w:hanging="420"/>
      </w:pPr>
    </w:lvl>
    <w:lvl w:ilvl="4" w:tplc="04090019" w:tentative="1">
      <w:start w:val="1"/>
      <w:numFmt w:val="lowerLetter"/>
      <w:lvlText w:val="%5)"/>
      <w:lvlJc w:val="left"/>
      <w:pPr>
        <w:ind w:left="4794" w:hanging="420"/>
      </w:pPr>
    </w:lvl>
    <w:lvl w:ilvl="5" w:tplc="0409001B" w:tentative="1">
      <w:start w:val="1"/>
      <w:numFmt w:val="lowerRoman"/>
      <w:lvlText w:val="%6."/>
      <w:lvlJc w:val="right"/>
      <w:pPr>
        <w:ind w:left="5214" w:hanging="420"/>
      </w:pPr>
    </w:lvl>
    <w:lvl w:ilvl="6" w:tplc="0409000F" w:tentative="1">
      <w:start w:val="1"/>
      <w:numFmt w:val="decimal"/>
      <w:lvlText w:val="%7."/>
      <w:lvlJc w:val="left"/>
      <w:pPr>
        <w:ind w:left="5634" w:hanging="420"/>
      </w:pPr>
    </w:lvl>
    <w:lvl w:ilvl="7" w:tplc="04090019" w:tentative="1">
      <w:start w:val="1"/>
      <w:numFmt w:val="lowerLetter"/>
      <w:lvlText w:val="%8)"/>
      <w:lvlJc w:val="left"/>
      <w:pPr>
        <w:ind w:left="6054" w:hanging="420"/>
      </w:pPr>
    </w:lvl>
    <w:lvl w:ilvl="8" w:tplc="0409001B" w:tentative="1">
      <w:start w:val="1"/>
      <w:numFmt w:val="lowerRoman"/>
      <w:lvlText w:val="%9."/>
      <w:lvlJc w:val="right"/>
      <w:pPr>
        <w:ind w:left="647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33142D3"/>
    <w:rsid w:val="00012D63"/>
    <w:rsid w:val="00097E82"/>
    <w:rsid w:val="001A73C8"/>
    <w:rsid w:val="001C3453"/>
    <w:rsid w:val="00206D4B"/>
    <w:rsid w:val="00226E23"/>
    <w:rsid w:val="00317307"/>
    <w:rsid w:val="00374191"/>
    <w:rsid w:val="003857C8"/>
    <w:rsid w:val="003D19E6"/>
    <w:rsid w:val="004136AC"/>
    <w:rsid w:val="0041768C"/>
    <w:rsid w:val="00440813"/>
    <w:rsid w:val="0048408C"/>
    <w:rsid w:val="004E44A4"/>
    <w:rsid w:val="005B5EE8"/>
    <w:rsid w:val="005F06FC"/>
    <w:rsid w:val="006418A6"/>
    <w:rsid w:val="006B56AC"/>
    <w:rsid w:val="006E1F34"/>
    <w:rsid w:val="006F06DC"/>
    <w:rsid w:val="00792411"/>
    <w:rsid w:val="00833F6C"/>
    <w:rsid w:val="008477BF"/>
    <w:rsid w:val="008522F3"/>
    <w:rsid w:val="008F5BE6"/>
    <w:rsid w:val="0091291E"/>
    <w:rsid w:val="00914628"/>
    <w:rsid w:val="00916AD7"/>
    <w:rsid w:val="0095576D"/>
    <w:rsid w:val="00977BD9"/>
    <w:rsid w:val="009855A9"/>
    <w:rsid w:val="00A23A74"/>
    <w:rsid w:val="00A31FCA"/>
    <w:rsid w:val="00A64B37"/>
    <w:rsid w:val="00AC7BE0"/>
    <w:rsid w:val="00B33DEE"/>
    <w:rsid w:val="00B3445C"/>
    <w:rsid w:val="00BA4FB0"/>
    <w:rsid w:val="00BA60F4"/>
    <w:rsid w:val="00C25F6C"/>
    <w:rsid w:val="00CA1D8A"/>
    <w:rsid w:val="00CE1999"/>
    <w:rsid w:val="00D00A06"/>
    <w:rsid w:val="00D11796"/>
    <w:rsid w:val="00DD7A62"/>
    <w:rsid w:val="00EB4660"/>
    <w:rsid w:val="00F17F4F"/>
    <w:rsid w:val="00F82A63"/>
    <w:rsid w:val="024449C4"/>
    <w:rsid w:val="055749D6"/>
    <w:rsid w:val="05B57530"/>
    <w:rsid w:val="093121C9"/>
    <w:rsid w:val="13B73A0F"/>
    <w:rsid w:val="169C6447"/>
    <w:rsid w:val="1A197E82"/>
    <w:rsid w:val="1AE51B29"/>
    <w:rsid w:val="21AE643A"/>
    <w:rsid w:val="240A68CF"/>
    <w:rsid w:val="2A227C60"/>
    <w:rsid w:val="2A593E88"/>
    <w:rsid w:val="2B857756"/>
    <w:rsid w:val="2C757A9A"/>
    <w:rsid w:val="34C3683C"/>
    <w:rsid w:val="42E05ED7"/>
    <w:rsid w:val="455E4A4E"/>
    <w:rsid w:val="4A1F44F9"/>
    <w:rsid w:val="4AC65079"/>
    <w:rsid w:val="4EB12D79"/>
    <w:rsid w:val="4FD8067D"/>
    <w:rsid w:val="5507330E"/>
    <w:rsid w:val="56B30A66"/>
    <w:rsid w:val="602F3BCB"/>
    <w:rsid w:val="606B70A9"/>
    <w:rsid w:val="612E14E9"/>
    <w:rsid w:val="61B37DF1"/>
    <w:rsid w:val="633142D3"/>
    <w:rsid w:val="67E05CB6"/>
    <w:rsid w:val="682F61D0"/>
    <w:rsid w:val="69002E43"/>
    <w:rsid w:val="69CB2809"/>
    <w:rsid w:val="6C137775"/>
    <w:rsid w:val="6D925D6F"/>
    <w:rsid w:val="6DC058B9"/>
    <w:rsid w:val="6E3320F5"/>
    <w:rsid w:val="71F35D82"/>
    <w:rsid w:val="77315B12"/>
    <w:rsid w:val="776F0682"/>
    <w:rsid w:val="77AD3BB8"/>
    <w:rsid w:val="795347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F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BA4FB0"/>
    <w:pPr>
      <w:jc w:val="left"/>
    </w:pPr>
  </w:style>
  <w:style w:type="paragraph" w:styleId="a4">
    <w:name w:val="Balloon Text"/>
    <w:basedOn w:val="a"/>
    <w:link w:val="Char"/>
    <w:rsid w:val="00BA4FB0"/>
    <w:rPr>
      <w:sz w:val="18"/>
      <w:szCs w:val="18"/>
    </w:rPr>
  </w:style>
  <w:style w:type="paragraph" w:styleId="a5">
    <w:name w:val="footer"/>
    <w:basedOn w:val="a"/>
    <w:link w:val="Char0"/>
    <w:uiPriority w:val="99"/>
    <w:rsid w:val="00BA4FB0"/>
    <w:pPr>
      <w:tabs>
        <w:tab w:val="center" w:pos="4153"/>
        <w:tab w:val="right" w:pos="8306"/>
      </w:tabs>
      <w:snapToGrid w:val="0"/>
      <w:jc w:val="left"/>
    </w:pPr>
    <w:rPr>
      <w:sz w:val="18"/>
      <w:szCs w:val="18"/>
    </w:rPr>
  </w:style>
  <w:style w:type="paragraph" w:styleId="a6">
    <w:name w:val="header"/>
    <w:basedOn w:val="a"/>
    <w:link w:val="Char1"/>
    <w:rsid w:val="00BA4FB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BA4FB0"/>
    <w:pPr>
      <w:widowControl/>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qFormat/>
    <w:rsid w:val="00BA4FB0"/>
    <w:rPr>
      <w:sz w:val="21"/>
      <w:szCs w:val="21"/>
    </w:rPr>
  </w:style>
  <w:style w:type="character" w:customStyle="1" w:styleId="Char">
    <w:name w:val="批注框文本 Char"/>
    <w:basedOn w:val="a0"/>
    <w:link w:val="a4"/>
    <w:qFormat/>
    <w:rsid w:val="00BA4FB0"/>
    <w:rPr>
      <w:kern w:val="2"/>
      <w:sz w:val="18"/>
      <w:szCs w:val="18"/>
    </w:rPr>
  </w:style>
  <w:style w:type="character" w:customStyle="1" w:styleId="Char1">
    <w:name w:val="页眉 Char"/>
    <w:basedOn w:val="a0"/>
    <w:link w:val="a6"/>
    <w:rsid w:val="00BA4FB0"/>
    <w:rPr>
      <w:kern w:val="2"/>
      <w:sz w:val="18"/>
      <w:szCs w:val="18"/>
    </w:rPr>
  </w:style>
  <w:style w:type="character" w:customStyle="1" w:styleId="Char0">
    <w:name w:val="页脚 Char"/>
    <w:basedOn w:val="a0"/>
    <w:link w:val="a5"/>
    <w:uiPriority w:val="99"/>
    <w:rsid w:val="00BA4FB0"/>
    <w:rPr>
      <w:kern w:val="2"/>
      <w:sz w:val="18"/>
      <w:szCs w:val="18"/>
    </w:rPr>
  </w:style>
  <w:style w:type="paragraph" w:styleId="a9">
    <w:name w:val="List Paragraph"/>
    <w:basedOn w:val="a"/>
    <w:uiPriority w:val="99"/>
    <w:unhideWhenUsed/>
    <w:rsid w:val="0095576D"/>
    <w:pPr>
      <w:ind w:firstLineChars="200" w:firstLine="420"/>
    </w:pPr>
  </w:style>
  <w:style w:type="table" w:styleId="aa">
    <w:name w:val="Table Grid"/>
    <w:basedOn w:val="a1"/>
    <w:rsid w:val="00F17F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9</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假码农一枚</dc:creator>
  <cp:lastModifiedBy>DDB</cp:lastModifiedBy>
  <cp:revision>5</cp:revision>
  <cp:lastPrinted>2019-09-11T03:02:00Z</cp:lastPrinted>
  <dcterms:created xsi:type="dcterms:W3CDTF">2019-09-11T10:09:00Z</dcterms:created>
  <dcterms:modified xsi:type="dcterms:W3CDTF">2019-09-12T01:28:00Z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