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lang w:val="en-US" w:eastAsia="zh-CN"/>
        </w:rPr>
      </w:pPr>
      <w:r>
        <w:rPr>
          <w:rFonts w:hint="eastAsia"/>
          <w:lang w:val="en-US" w:eastAsia="zh-CN"/>
        </w:rPr>
        <w:t>附件：</w:t>
      </w:r>
      <w:bookmarkStart w:id="0" w:name="_GoBack"/>
      <w:bookmarkEnd w:id="0"/>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福建省海洋与渔业局废止的规范性文件目录</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2018年前）</w:t>
      </w:r>
    </w:p>
    <w:tbl>
      <w:tblPr>
        <w:tblStyle w:val="4"/>
        <w:tblW w:w="8449" w:type="dxa"/>
        <w:jc w:val="center"/>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582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b/>
                <w:i w:val="0"/>
                <w:color w:val="000000"/>
                <w:spacing w:val="-6"/>
                <w:kern w:val="0"/>
                <w:sz w:val="20"/>
                <w:szCs w:val="20"/>
                <w:u w:val="none"/>
                <w:lang w:val="en-US" w:eastAsia="zh-CN" w:bidi="ar"/>
              </w:rPr>
              <w:t>序号</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b/>
                <w:i w:val="0"/>
                <w:color w:val="000000"/>
                <w:spacing w:val="-6"/>
                <w:kern w:val="0"/>
                <w:sz w:val="20"/>
                <w:szCs w:val="20"/>
                <w:u w:val="none"/>
                <w:lang w:val="en-US" w:eastAsia="zh-CN" w:bidi="ar"/>
              </w:rPr>
              <w:t>文件标题</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b/>
                <w:i w:val="0"/>
                <w:color w:val="000000"/>
                <w:spacing w:val="-6"/>
                <w:kern w:val="0"/>
                <w:sz w:val="20"/>
                <w:szCs w:val="20"/>
                <w:u w:val="none"/>
                <w:lang w:val="en-US" w:eastAsia="zh-CN" w:bidi="ar"/>
              </w:rPr>
              <w:t>文件号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1</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福建省海洋与渔业厅关于调整海洋伏季休渔制度的通告</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闽海渔[2018]48号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2</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福建省海洋与渔业厅关于印发福建省渔业防台风应急预案的通知 </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 xml:space="preserve">闽海渔[2017]174号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3</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福建省海洋与渔业厅关于印发《福建省设施渔业项目建设技术要求》的通知 </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 xml:space="preserve">闽海渔[2017]157号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4</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福建省海洋与渔业厅关于发布闽江水域禁渔期制度的通告 </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闽海渔[2017]62号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5</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 xml:space="preserve">福建省海洋与渔业厅关于进一步推进渔港建设进度与加强管理的通知 </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 xml:space="preserve">闽海渔[2017]54号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6</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福建省海洋与渔业厅关于加强“水乡渔村”项目验收管理的指导意见</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闽海渔[2016]273号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7</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福建省海洋与渔业厅关于印发省级渔业捕捞许可审批权限委托办理工作实施方案的通知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闽海渔[2016]36号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8</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关于印发福建省风暴潮灾害应急预案的通知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闽海渔[2015]247号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9</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福建省海洋与渔业厅关于优化猎捕、驯养繁殖、经营利用和运输携带国家重点保护水生野生动物及其产品出县境审批工作流程的通知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闽海渔[2015]182号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10</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福建省海洋与渔业厅关于印发福建省赤潮灾害应急预案的通知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闽海渔[2014]68号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11</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福建省海洋与渔业厅关于提升防台风管理工作的通知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闽海渔[2013]339号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12</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福建省海洋与渔业厅 福建省财政厅关于印发《福建省水产产业化龙头企业评审认定管理办法》的通知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闽海渔[2011]187号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13</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福建省海洋与渔业局关于关于进一步加强水生野生动物经营利用管理的实施意见</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闽海渔[2009]77号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14</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福建省海洋与渔业局关于暂停审批建造购买内陆水域机动捕捞渔船的紧急通知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闽海渔[2008]381号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15</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福建省海洋与渔业局关于印发《福建省黑名单渔船通报与处理办法》和《福建省渔船进出渔港签证管理办法》的通知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闽海渔[2008]227号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16</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关于落实水产养殖用药管理职能的通知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闽海渔[2004]261号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17</w:t>
            </w:r>
          </w:p>
        </w:tc>
        <w:tc>
          <w:tcPr>
            <w:tcW w:w="582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关于实施幼鱼比例检查的通知</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eastAsia="仿宋_GB2312"/>
                <w:vertAlign w:val="baseline"/>
                <w:lang w:eastAsia="zh-CN"/>
              </w:rPr>
            </w:pPr>
            <w:r>
              <w:rPr>
                <w:rFonts w:hint="eastAsia" w:ascii="仿宋_GB2312" w:hAnsi="宋体" w:eastAsia="仿宋_GB2312" w:cs="仿宋_GB2312"/>
                <w:i w:val="0"/>
                <w:color w:val="000000"/>
                <w:spacing w:val="-6"/>
                <w:kern w:val="0"/>
                <w:sz w:val="20"/>
                <w:szCs w:val="20"/>
                <w:u w:val="none"/>
                <w:lang w:val="en-US" w:eastAsia="zh-CN" w:bidi="ar"/>
              </w:rPr>
              <w:t>闽海渔[2001]128号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74EB2"/>
    <w:rsid w:val="674D3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2019-10-30T09:43:28Z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