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left"/>
        <w:rPr>
          <w:rFonts w:hint="default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</w:pPr>
      <w:bookmarkStart w:id="2" w:name="_GoBack"/>
      <w:bookmarkStart w:id="0" w:name="标题"/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highlight w:val="none"/>
          <w:lang w:val="en-US" w:eastAsia="zh-CN" w:bidi="ar"/>
        </w:rPr>
        <w:t>《</w:t>
      </w:r>
      <w:r>
        <w:rPr>
          <w:rFonts w:hint="default" w:ascii="方正小标宋简体" w:hAnsi="方正小标宋简体" w:eastAsia="方正小标宋简体" w:cs="方正小标宋简体"/>
          <w:spacing w:val="-6"/>
          <w:kern w:val="2"/>
          <w:sz w:val="44"/>
          <w:szCs w:val="44"/>
          <w:highlight w:val="none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highlight w:val="none"/>
          <w:lang w:val="en-US" w:eastAsia="zh-CN" w:bidi="ar"/>
        </w:rPr>
        <w:t>福建省渔业统计年鉴》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highlight w:val="none"/>
          <w:lang w:val="en-US" w:eastAsia="zh-CN" w:bidi="ar"/>
        </w:rPr>
        <w:t>印刷服务采购要求</w:t>
      </w:r>
    </w:p>
    <w:bookmarkEnd w:id="2"/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 w:firstLine="612" w:firstLineChars="200"/>
        <w:jc w:val="left"/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2"/>
          <w:sz w:val="30"/>
          <w:szCs w:val="30"/>
          <w:highlight w:val="none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kern w:val="2"/>
          <w:sz w:val="30"/>
          <w:szCs w:val="30"/>
          <w:highlight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52" w:firstLineChars="200"/>
        <w:jc w:val="left"/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根据工作需要，拟采购“福建省渔业统计年鉴印刷服务项目”，具体参数及数量如下：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52" w:firstLineChars="200"/>
        <w:jc w:val="left"/>
        <w:rPr>
          <w:rFonts w:hint="eastAsia" w:ascii="黑体" w:hAnsi="宋体" w:eastAsia="黑体" w:cs="黑体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一、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印制品清单</w:t>
      </w:r>
    </w:p>
    <w:tbl>
      <w:tblPr>
        <w:tblStyle w:val="7"/>
        <w:tblW w:w="908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403"/>
        <w:gridCol w:w="1142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楷体_GB2312" w:hAnsi="Calibri" w:eastAsia="楷体_GB2312" w:cs="楷体_GB2312"/>
                <w:b/>
                <w:bCs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楷体_GB2312" w:hAnsi="Calibri" w:eastAsia="楷体_GB2312" w:cs="楷体_GB2312"/>
                <w:b/>
                <w:bCs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楷体_GB2312" w:hAnsi="Calibri" w:eastAsia="楷体_GB2312" w:cs="楷体_GB2312"/>
                <w:b/>
                <w:bCs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楷体_GB2312" w:hAnsi="Calibri" w:eastAsia="楷体_GB2312" w:cs="楷体_GB2312"/>
                <w:b/>
                <w:bCs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《</w:t>
            </w:r>
            <w:r>
              <w:rPr>
                <w:rFonts w:hint="default" w:ascii="仿宋_GB2312" w:hAnsi="Times New Roman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2023年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福建省渔业统计年鉴》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正度16K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（185mm×260mm）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300本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</w:rPr>
            </w:pPr>
            <w:r>
              <w:rPr>
                <w:rFonts w:hint="eastAsia" w:ascii="仿宋_GB2312" w:hAnsi="Times New Roman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参照《2022年福建省渔业统计年鉴》。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《202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年福建省渔业统计年鉴》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（口袋书）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mm×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145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mm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100本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Times New Roman" w:cs="仿宋_GB2312"/>
                <w:i w:val="0"/>
                <w:iCs w:val="0"/>
                <w:caps w:val="0"/>
                <w:spacing w:val="0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52" w:firstLineChars="200"/>
        <w:jc w:val="left"/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二、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供方负责设计制版（含整体外观设计）、校对、印制（含校对稿和最终成书印制）、装订、运输以及制作成书的可复制的PDF电子文档等全过程的所有事项。该年鉴使用的材料应为合格以上产品，纸张色差应统一；设计、制版、印刷、装订达到行业标准要求；年鉴排版差错率不能超过行业规定。</w:t>
      </w:r>
      <w:r>
        <w:rPr>
          <w:rFonts w:hint="eastAsia" w:ascii="仿宋_GB2312" w:hAnsi="Times New Roman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方按</w:t>
      </w:r>
      <w:r>
        <w:rPr>
          <w:rFonts w:hint="eastAsia" w:ascii="仿宋_GB2312" w:hAnsi="Times New Roman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方的版式要求排版，经需方在清样上签字确认，同意付印及数量后，</w:t>
      </w:r>
      <w:r>
        <w:rPr>
          <w:rFonts w:hint="eastAsia" w:ascii="仿宋_GB2312" w:hAnsi="Times New Roman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fill="FFFFFF"/>
          <w:lang w:val="en-US" w:eastAsia="zh-CN" w:bidi="ar"/>
        </w:rPr>
        <w:t>方下单印刷。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652" w:leftChars="200" w:right="0"/>
        <w:jc w:val="left"/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2"/>
          <w:sz w:val="30"/>
          <w:szCs w:val="30"/>
          <w:highlight w:val="none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2"/>
          <w:sz w:val="30"/>
          <w:szCs w:val="30"/>
          <w:highlight w:val="none"/>
          <w:shd w:val="clear" w:fill="FFFFFF"/>
          <w:lang w:val="en-US" w:eastAsia="zh-CN" w:bidi="ar"/>
        </w:rPr>
        <w:t>三、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kern w:val="2"/>
          <w:sz w:val="30"/>
          <w:szCs w:val="30"/>
          <w:highlight w:val="none"/>
          <w:shd w:val="clear" w:fill="FFFFFF"/>
          <w:lang w:val="en-US" w:eastAsia="zh-CN" w:bidi="ar"/>
        </w:rPr>
        <w:t>用纸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highlight w:val="none"/>
        </w:rPr>
        <w:t>《2023年福建省渔业统计年鉴》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1.内文：进口大度80克双胶，≦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页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；部分隔断页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250克铜版≦5页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2.封面：250克铜版彩印（亚膜）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，前后封面有勒口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扉页：200克特种纸；封面后的第一张。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综述：250克铜版，≦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页（克数根据年鉴总体情况有可能调低，但不低于150g）。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（二）《2023年福建省渔业统计年鉴》（口袋书）</w:t>
      </w:r>
    </w:p>
    <w:p>
      <w:pPr>
        <w:spacing w:line="560" w:lineRule="exact"/>
        <w:ind w:firstLine="652" w:firstLineChars="200"/>
        <w:jc w:val="left"/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</w:rPr>
        <w:t>按年鉴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文件</w:t>
      </w:r>
      <w:r>
        <w:rPr>
          <w:rFonts w:hint="eastAsia" w:ascii="仿宋_GB2312" w:hAnsi="仿宋_GB2312" w:cs="仿宋_GB2312"/>
          <w:color w:val="auto"/>
          <w:szCs w:val="32"/>
          <w:highlight w:val="none"/>
        </w:rPr>
        <w:t>同比例缩放，材质同年鉴要求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装订：无线胶装，长边装订。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包装：半封闭包装。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运输及运费负担：由供方单位运输，并承担运费。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交货时间和地点:自签订合同后30日内，地址：福州市鼓楼区冶山路26号省海洋与渔业局。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质量验收标准：由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方单位验收合格为止。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结算方式：转账。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最高限价：2万元。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left"/>
        <w:rPr>
          <w:rFonts w:hint="eastAsia" w:ascii="黑体" w:hAnsi="黑体" w:eastAsia="黑体" w:cs="黑体"/>
          <w:sz w:val="30"/>
          <w:szCs w:val="30"/>
          <w:highlight w:val="none"/>
          <w:lang w:val="en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41" w:right="1531" w:bottom="2041" w:left="1531" w:header="851" w:footer="1531" w:gutter="0"/>
          <w:pgNumType w:fmt="numberInDash"/>
          <w:cols w:space="720" w:num="1"/>
          <w:titlePg/>
          <w:docGrid w:type="linesAndChars" w:linePitch="579" w:charSpace="1229"/>
        </w:sect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bookmarkStart w:id="1" w:name="BodyEnd"/>
      <w:bookmarkEnd w:id="1"/>
    </w:p>
    <w:sectPr>
      <w:footerReference r:id="rId7" w:type="default"/>
      <w:type w:val="continuous"/>
      <w:pgSz w:w="11906" w:h="16838"/>
      <w:pgMar w:top="2098" w:right="1531" w:bottom="1701" w:left="1531" w:header="851" w:footer="992" w:gutter="0"/>
      <w:pgNumType w:fmt="numberInDash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overflowPunct w:val="0"/>
      <w:autoSpaceDE w:val="0"/>
      <w:autoSpaceDN w:val="0"/>
      <w:adjustRightInd w:val="0"/>
      <w:spacing w:line="240" w:lineRule="atLeast"/>
      <w:ind w:right="360" w:firstLine="360"/>
      <w:jc w:val="right"/>
      <w:textAlignment w:val="baseline"/>
      <w:rPr>
        <w:rFonts w:hint="eastAsia" w:ascii="楷体_GB2312" w:hAnsi="Calibri" w:eastAsia="楷体_GB2312" w:cs="Times New Roman"/>
        <w:spacing w:val="-6"/>
        <w:kern w:val="2"/>
        <w:sz w:val="28"/>
        <w:lang w:val="en-US" w:eastAsia="zh-CN"/>
      </w:rPr>
    </w:pPr>
    <w:r>
      <w:rPr>
        <w:rFonts w:ascii="Calibri" w:hAnsi="Calibri" w:eastAsia="仿宋_GB2312" w:cs="Times New Roman"/>
        <w:spacing w:val="-6"/>
        <w:kern w:val="2"/>
        <w:sz w:val="28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tLeast"/>
                            <w:jc w:val="both"/>
                            <w:textAlignment w:val="baseline"/>
                            <w:rPr>
                              <w:rFonts w:ascii="Calibri" w:hAnsi="Calibri" w:eastAsia="仿宋_GB2312" w:cs="Times New Roman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</w:pP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color="#FFFFFF" filled="t" stroked="f" coordsize="21600,21600" o:gfxdata="UEsDBAoAAAAAAIdO4kAAAAAAAAAAAAAAAAAEAAAAZHJzL1BLAwQUAAAACACHTuJAr7wQHdEAAAAF&#10;AQAADwAAAGRycy9kb3ducmV2LnhtbE2PQU/DMAyF70j8h8hI3FjaHaCUppNAmriyDU0ck8a0hcQp&#10;SbaOf49BSHCx/PSs5+81q5N34ogxjYEUlIsCBFIX7Ei9gufd+qoCkbImq10gVPCJCVbt+Vmjaxtm&#10;2uBxm3vBIZRqrWDIeaqlTN2AXqdFmJDYew3R68wy9tJGPXO4d3JZFNfS65H4w6AnfBiwe98evALz&#10;tns0e7eOL+XtvN/E+5unDzJKXV6UxR2IjKf8dwzf+IwOLTOZcCCbhFPARfLPZG9ZVSzN7yLbRv6n&#10;b78AUEsDBBQAAAAIAIdO4kCsNTGeSgIAAJgEAAAOAAAAZHJzL2Uyb0RvYy54bWytVM1uEzEQviPx&#10;DpbvdNOgVlGUTRVaBSFVtFJAnB2vN2vJf7Kd7IYHgDfgxIU7z5Xn4LM3m0Dh0AM5OGPP+Bt/38zs&#10;7KbTiuyED9Kakl5ejCgRhttKmk1JP35YvppQEiIzFVPWiJLuRaA385cvZq2birFtrKqEJwAxYdq6&#10;kjYxumlRBN4IzcKFdcLAWVuvWcTWb4rKsxboWhXj0ei6aK2vnLdchIDTu95Jj4j+OYC2riUXd5Zv&#10;tTCxR/VCsQhKoZEu0Hl+bV0LHh/qOohIVEnBNOYVSWCv01rMZ2y68cw1kh+fwJ7zhCecNJMGSU9Q&#10;dywysvXyLygtubfB1vGCW130RLIiYHE5eqLNqmFOZC6QOriT6OH/wfL3u0dPZFXSK0oM0yj44dvX&#10;w/efhx9fyFWSp3VhiqiVQ1zs3tgOTTOcBxwm1l3tdfoHHwI/xN2fxBVdJDxdmownkxFcHL5hA/zi&#10;fN35EN8Kq0kySupRvSwq292H2IcOISlbsEpWS6lU3vjN+lZ5smOo9DL/0iuB/keYMqQt6fXrq1FG&#10;Njbd7+OUSTgiN80xX+Lec0xW7NYdQpO5ttUeenjbN1RwfCnx5nsW4iPz6CDwxIzFByy1skhpjxYl&#10;jfWf/3We4lFYeClp0ZElNRhAStQ7g4IDMA6GH4z1YJitvrUgfonZdTybuOCjGszaW/0Jg7dIOeBi&#10;hiNTSeNg3sZ+KjC4XCwWOWjrvNw0/QW0q2Px3qwcT2my5G6xjRAwl+asCkRPGzRslv84XGkift/n&#10;qPMHZf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7wQHdEAAAAFAQAADwAAAAAAAAABACAAAAAi&#10;AAAAZHJzL2Rvd25yZXYueG1sUEsBAhQAFAAAAAgAh07iQKw1MZ5KAgAAmAQAAA4AAAAAAAAAAQAg&#10;AAAAIAEAAGRycy9lMm9Eb2MueG1sUEsFBgAAAAAGAAYAWQEAANwFAAAAAA==&#10;">
              <v:fill on="t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spacing w:line="240" w:lineRule="atLeast"/>
                      <w:jc w:val="both"/>
                      <w:textAlignment w:val="baseline"/>
                      <w:rPr>
                        <w:rFonts w:ascii="Calibri" w:hAnsi="Calibri" w:eastAsia="仿宋_GB2312" w:cs="Times New Roman"/>
                        <w:spacing w:val="-6"/>
                        <w:kern w:val="2"/>
                        <w:sz w:val="20"/>
                        <w:lang w:val="en-US" w:eastAsia="zh-CN"/>
                      </w:rPr>
                    </w:pP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fldChar w:fldCharType="begin"/>
                    </w: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t>- 1 -</w:t>
                    </w: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仿宋_GB2312" w:cs="Times New Roman"/>
        <w:spacing w:val="-6"/>
        <w:kern w:val="2"/>
        <w:sz w:val="2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tLeast"/>
                            <w:jc w:val="both"/>
                            <w:textAlignment w:val="baseline"/>
                            <w:rPr>
                              <w:rFonts w:hint="eastAsia" w:ascii="Calibri" w:hAnsi="Calibri" w:eastAsia="仿宋_GB2312" w:cs="Times New Roman"/>
                              <w:spacing w:val="-6"/>
                              <w:kern w:val="2"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spacing w:line="240" w:lineRule="atLeast"/>
                      <w:jc w:val="both"/>
                      <w:textAlignment w:val="baseline"/>
                      <w:rPr>
                        <w:rFonts w:hint="eastAsia" w:ascii="Calibri" w:hAnsi="Calibri" w:eastAsia="仿宋_GB2312" w:cs="Times New Roman"/>
                        <w:spacing w:val="-6"/>
                        <w:kern w:val="2"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615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Fonts w:ascii="Calibri" w:hAnsi="Calibri" w:eastAsia="仿宋_GB2312" w:cs="Times New Roman"/>
        <w:spacing w:val="-6"/>
        <w:kern w:val="2"/>
        <w:sz w:val="20"/>
        <w:lang w:val="en-US" w:eastAsia="zh-CN"/>
      </w:rPr>
    </w:pPr>
    <w:r>
      <w:rPr>
        <w:rFonts w:ascii="Calibri" w:hAnsi="Calibri" w:eastAsia="仿宋_GB2312" w:cs="Times New Roman"/>
        <w:spacing w:val="-6"/>
        <w:kern w:val="2"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tLeast"/>
                            <w:jc w:val="both"/>
                            <w:textAlignment w:val="baseline"/>
                            <w:rPr>
                              <w:rFonts w:ascii="Calibri" w:hAnsi="Calibri" w:eastAsia="仿宋_GB2312" w:cs="Times New Roman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spacing w:line="240" w:lineRule="atLeast"/>
                      <w:jc w:val="both"/>
                      <w:textAlignment w:val="baseline"/>
                      <w:rPr>
                        <w:rFonts w:ascii="Calibri" w:hAnsi="Calibri" w:eastAsia="仿宋_GB2312" w:cs="Times New Roman"/>
                        <w:spacing w:val="-6"/>
                        <w:kern w:val="2"/>
                        <w:sz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仿宋_GB2312" w:cs="Times New Roman"/>
        <w:spacing w:val="-6"/>
        <w:kern w:val="2"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tLeast"/>
                            <w:jc w:val="both"/>
                            <w:textAlignment w:val="baseline"/>
                            <w:rPr>
                              <w:rFonts w:hint="eastAsia" w:ascii="Calibri" w:hAnsi="Calibri" w:eastAsia="仿宋_GB2312" w:cs="Times New Roman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spacing w:line="240" w:lineRule="atLeast"/>
                      <w:jc w:val="both"/>
                      <w:textAlignment w:val="baseline"/>
                      <w:rPr>
                        <w:rFonts w:hint="eastAsia" w:ascii="Calibri" w:hAnsi="Calibri" w:eastAsia="仿宋_GB2312" w:cs="Times New Roman"/>
                        <w:spacing w:val="-6"/>
                        <w:kern w:val="2"/>
                        <w:sz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仿宋_GB2312" w:cs="Times New Roman"/>
        <w:spacing w:val="-6"/>
        <w:kern w:val="2"/>
        <w:sz w:val="1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仿宋_GB2312" w:cs="Times New Roman"/>
        <w:spacing w:val="-6"/>
        <w:kern w:val="2"/>
        <w:sz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52047"/>
    <w:multiLevelType w:val="multilevel"/>
    <w:tmpl w:val="13C52047"/>
    <w:lvl w:ilvl="0" w:tentative="0">
      <w:start w:val="1"/>
      <w:numFmt w:val="decimal"/>
      <w:suff w:val="space"/>
      <w:lvlText w:val="第%1章 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suff w:val="space"/>
      <w:lvlText w:val="%1.%2"/>
      <w:lvlJc w:val="left"/>
      <w:pPr>
        <w:ind w:left="562" w:hanging="42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ind w:left="1407" w:hanging="84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1550" w:hanging="8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127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suff w:val="space"/>
      <w:lvlText w:val="%1.%2.%3.%4.%5.%6.%7"/>
      <w:lvlJc w:val="left"/>
      <w:pPr>
        <w:ind w:left="98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764"/>
        </w:tabs>
        <w:ind w:left="476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Name" w:val=",BodyEnd,BodyStart"/>
    <w:docVar w:name="commondata" w:val="eyJoZGlkIjoiZWI3MTk4N2U5NzRiNDQ4NTU1MDhjMWU2YTU4OTA5ZjcifQ=="/>
    <w:docVar w:name="IsOAFile" w:val="1"/>
    <w:docVar w:name="OpenTime" w:val="2022-03-21 10:34:42"/>
    <w:docVar w:name="SessionId" w:val="DomAuthSessId=5170157791BBCAEBA855C78ACDDE0379"/>
  </w:docVars>
  <w:rsids>
    <w:rsidRoot w:val="00172A27"/>
    <w:rsid w:val="01102690"/>
    <w:rsid w:val="130D2246"/>
    <w:rsid w:val="1A7029CC"/>
    <w:rsid w:val="1B621480"/>
    <w:rsid w:val="28DF7867"/>
    <w:rsid w:val="29A13E0D"/>
    <w:rsid w:val="3FF9F55B"/>
    <w:rsid w:val="41F321F4"/>
    <w:rsid w:val="53297083"/>
    <w:rsid w:val="5AD2138E"/>
    <w:rsid w:val="5FFE226C"/>
    <w:rsid w:val="6583AF57"/>
    <w:rsid w:val="67EFD998"/>
    <w:rsid w:val="6B3FC9DB"/>
    <w:rsid w:val="6BAC1B2C"/>
    <w:rsid w:val="6EF3CDCC"/>
    <w:rsid w:val="73EF5028"/>
    <w:rsid w:val="77BD6E45"/>
    <w:rsid w:val="77EDA1D9"/>
    <w:rsid w:val="7F0B31EA"/>
    <w:rsid w:val="7FBFB2AE"/>
    <w:rsid w:val="7FEE04AD"/>
    <w:rsid w:val="AFDF9FE9"/>
    <w:rsid w:val="BAFDBB5D"/>
    <w:rsid w:val="BFDBEA9D"/>
    <w:rsid w:val="DF4F68B4"/>
    <w:rsid w:val="DFFE3A7C"/>
    <w:rsid w:val="FC5F0A75"/>
    <w:rsid w:val="FDFE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next w:val="1"/>
    <w:autoRedefine/>
    <w:unhideWhenUsed/>
    <w:qFormat/>
    <w:uiPriority w:val="0"/>
    <w:pPr>
      <w:keepNext/>
      <w:keepLines/>
      <w:widowControl w:val="0"/>
      <w:numPr>
        <w:ilvl w:val="2"/>
        <w:numId w:val="1"/>
      </w:numPr>
      <w:spacing w:before="120" w:after="120" w:line="360" w:lineRule="auto"/>
      <w:jc w:val="both"/>
      <w:outlineLvl w:val="2"/>
    </w:pPr>
    <w:rPr>
      <w:rFonts w:ascii="Times New Roman" w:hAnsi="Times New Roman" w:eastAsia="仿宋_GB2312" w:cs="Times New Roman"/>
      <w:b/>
      <w:bCs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2013-11-24T04:23:00Z</dcterms:created>
  <dc:creator>hyadmin</dc:creator>
  <cp:lastModifiedBy>xxzx</cp:lastModifiedBy>
  <cp:lastPrinted>2024-11-01T17:57:00Z</cp:lastPrinted>
  <dcterms:modified xsi:type="dcterms:W3CDTF">2024-11-01T10:57:26Z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5CDFFB1D0FEF3BE730BE10678C92D645</vt:lpwstr>
  </property>
</Properties>
</file>