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widowControl/>
        <w:spacing w:line="540" w:lineRule="exact"/>
        <w:jc w:val="left"/>
        <w:textAlignment w:val="center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zh-CN"/>
        </w:rPr>
        <w:t>附件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zh-CN"/>
        </w:rPr>
        <w:t>：</w:t>
      </w:r>
    </w:p>
    <w:p>
      <w:pPr>
        <w:widowControl/>
        <w:spacing w:line="540" w:lineRule="exact"/>
        <w:jc w:val="center"/>
        <w:textAlignment w:val="center"/>
        <w:rPr>
          <w:rFonts w:hint="eastAsia" w:ascii="黑体" w:hAnsi="黑体" w:eastAsia="黑体" w:cs="黑体"/>
          <w:bCs/>
          <w:kern w:val="0"/>
          <w:sz w:val="36"/>
          <w:szCs w:val="36"/>
          <w:highlight w:val="none"/>
          <w:lang w:val="zh-CN"/>
        </w:rPr>
      </w:pPr>
      <w:bookmarkStart w:id="0" w:name="_GoBack"/>
      <w:r>
        <w:rPr>
          <w:rFonts w:hint="eastAsia" w:ascii="黑体" w:hAnsi="黑体" w:eastAsia="黑体" w:cs="黑体"/>
          <w:bCs/>
          <w:kern w:val="0"/>
          <w:sz w:val="36"/>
          <w:szCs w:val="36"/>
          <w:highlight w:val="none"/>
          <w:lang w:val="zh-CN" w:eastAsia="zh-CN"/>
        </w:rPr>
        <w:t>福建</w:t>
      </w:r>
      <w:r>
        <w:rPr>
          <w:rFonts w:hint="eastAsia" w:ascii="黑体" w:hAnsi="黑体" w:eastAsia="黑体" w:cs="黑体"/>
          <w:bCs/>
          <w:kern w:val="0"/>
          <w:sz w:val="36"/>
          <w:szCs w:val="36"/>
          <w:highlight w:val="none"/>
          <w:lang w:val="en-US" w:eastAsia="zh-CN"/>
        </w:rPr>
        <w:t>海洋职业技术学校渔业船舶船员培训</w:t>
      </w:r>
      <w:r>
        <w:rPr>
          <w:rFonts w:hint="eastAsia" w:ascii="黑体" w:hAnsi="黑体" w:eastAsia="黑体" w:cs="黑体"/>
          <w:bCs/>
          <w:kern w:val="0"/>
          <w:sz w:val="36"/>
          <w:szCs w:val="36"/>
          <w:highlight w:val="none"/>
          <w:lang w:val="zh-CN" w:eastAsia="zh-CN"/>
        </w:rPr>
        <w:t>项目省内异地</w:t>
      </w:r>
      <w:r>
        <w:rPr>
          <w:rFonts w:hint="eastAsia" w:ascii="黑体" w:hAnsi="黑体" w:eastAsia="黑体" w:cs="黑体"/>
          <w:bCs/>
          <w:kern w:val="0"/>
          <w:sz w:val="36"/>
          <w:szCs w:val="36"/>
          <w:highlight w:val="none"/>
          <w:lang w:val="en-US" w:eastAsia="zh-CN"/>
        </w:rPr>
        <w:t>合作</w:t>
      </w:r>
      <w:r>
        <w:rPr>
          <w:rFonts w:hint="eastAsia" w:ascii="黑体" w:hAnsi="黑体" w:eastAsia="黑体" w:cs="黑体"/>
          <w:bCs/>
          <w:kern w:val="0"/>
          <w:sz w:val="36"/>
          <w:szCs w:val="36"/>
          <w:highlight w:val="none"/>
          <w:lang w:val="zh-CN" w:eastAsia="zh-CN"/>
        </w:rPr>
        <w:t>培训机构</w:t>
      </w:r>
      <w:r>
        <w:rPr>
          <w:rFonts w:hint="eastAsia" w:ascii="黑体" w:hAnsi="黑体" w:eastAsia="黑体" w:cs="黑体"/>
          <w:bCs/>
          <w:kern w:val="0"/>
          <w:sz w:val="36"/>
          <w:szCs w:val="36"/>
          <w:highlight w:val="none"/>
          <w:lang w:val="zh-CN"/>
        </w:rPr>
        <w:t>遴选评分标准</w:t>
      </w:r>
      <w:bookmarkEnd w:id="0"/>
    </w:p>
    <w:tbl>
      <w:tblPr>
        <w:tblStyle w:val="7"/>
        <w:tblW w:w="4958" w:type="pct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2242"/>
        <w:gridCol w:w="1204"/>
        <w:gridCol w:w="1076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763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06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评分项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分值权重</w:t>
            </w:r>
          </w:p>
        </w:tc>
        <w:tc>
          <w:tcPr>
            <w:tcW w:w="993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评分标准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763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A</w:t>
            </w:r>
          </w:p>
        </w:tc>
        <w:tc>
          <w:tcPr>
            <w:tcW w:w="206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培训师资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993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Style w:val="17"/>
                <w:rFonts w:hint="default"/>
                <w:highlight w:val="none"/>
                <w:lang w:val="en-US" w:eastAsia="zh-CN" w:bidi="ar"/>
              </w:rPr>
            </w:pPr>
            <w:r>
              <w:rPr>
                <w:rStyle w:val="17"/>
                <w:rFonts w:hint="eastAsia"/>
                <w:color w:val="auto"/>
                <w:highlight w:val="none"/>
                <w:lang w:val="en-US" w:eastAsia="zh-CN" w:bidi="ar"/>
              </w:rPr>
              <w:t>投标人拥有相关领域师资团队，自有驾驶、轮机专业相关职务证书的培训教师得10分。师资人数每曾加1人得1分，上限20分。（需提供聘用合同或单位在职证明</w:t>
            </w:r>
            <w:r>
              <w:rPr>
                <w:rStyle w:val="17"/>
                <w:rFonts w:hint="default" w:ascii="宋体"/>
                <w:color w:val="auto"/>
                <w:highlight w:val="none"/>
                <w:lang w:eastAsia="zh-CN" w:bidi="ar"/>
              </w:rPr>
              <w:t>，</w:t>
            </w:r>
            <w:r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  <w:t>未提供的不得分。</w:t>
            </w:r>
            <w:r>
              <w:rPr>
                <w:rStyle w:val="17"/>
                <w:rFonts w:hint="eastAsia"/>
                <w:color w:val="auto"/>
                <w:highlight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763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B</w:t>
            </w:r>
          </w:p>
        </w:tc>
        <w:tc>
          <w:tcPr>
            <w:tcW w:w="206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培训场地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993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宋体" w:hAnsi="宋体" w:cs="宋体" w:eastAsiaTheme="minorEastAsia"/>
                <w:color w:val="FF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  <w:t>投标人拥有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理论培训场地</w:t>
            </w:r>
            <w:r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实操教学场地</w:t>
            </w:r>
            <w:r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  <w:t>，每提供1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种</w:t>
            </w:r>
            <w:r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  <w:t>得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  <w:t>分，满分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  <w:t>分。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（须</w:t>
            </w:r>
            <w:r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  <w:t>提供场所照片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及</w:t>
            </w:r>
            <w:r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  <w:t>产权证或租赁合同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或</w:t>
            </w:r>
            <w:r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  <w:t>合作协议复印件，未提供的不得分。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763" w:type="dxa"/>
            <w:vMerge w:val="restart"/>
            <w:shd w:val="clear" w:color="auto" w:fill="FFFFFF"/>
            <w:tcMar>
              <w:top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C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2068" w:type="dxa"/>
            <w:vMerge w:val="restart"/>
            <w:shd w:val="clear" w:color="auto" w:fill="FFFFFF"/>
            <w:tcMar>
              <w:top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从事渔业船舶船员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培训的经验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993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有举办过相关培训的，每提供一场次证明得5分，上限20分。</w:t>
            </w:r>
            <w:r>
              <w:rPr>
                <w:rStyle w:val="17"/>
                <w:rFonts w:hint="eastAsia"/>
                <w:highlight w:val="none"/>
                <w:lang w:val="en-US" w:eastAsia="zh-CN" w:bidi="ar"/>
              </w:rPr>
              <w:t>须提供相关证明材料，否则不得分。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763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2068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5</w:t>
            </w:r>
          </w:p>
        </w:tc>
        <w:tc>
          <w:tcPr>
            <w:tcW w:w="993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17"/>
                <w:rFonts w:hint="eastAsia"/>
                <w:highlight w:val="none"/>
                <w:lang w:val="en-US" w:eastAsia="zh-CN" w:bidi="ar"/>
              </w:rPr>
              <w:t>投标人属于“我省渔业船舶船员培训机构”得5分，须提供相关证明材料，否则不得分。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3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D</w:t>
            </w:r>
          </w:p>
        </w:tc>
        <w:tc>
          <w:tcPr>
            <w:tcW w:w="206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培训方案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993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Style w:val="17"/>
                <w:rFonts w:hint="default"/>
                <w:highlight w:val="none"/>
                <w:lang w:bidi="ar"/>
              </w:rPr>
              <w:t>培训课程方案</w:t>
            </w:r>
            <w:r>
              <w:rPr>
                <w:rStyle w:val="17"/>
                <w:rFonts w:hint="default"/>
                <w:highlight w:val="none"/>
                <w:lang w:eastAsia="zh-CN" w:bidi="ar"/>
              </w:rPr>
              <w:t>有针对性，有相应的</w:t>
            </w:r>
            <w:r>
              <w:rPr>
                <w:rStyle w:val="17"/>
                <w:rFonts w:hint="default"/>
                <w:highlight w:val="none"/>
                <w:lang w:bidi="ar"/>
              </w:rPr>
              <w:t>培训项目安排、培训课程内容多样化，</w:t>
            </w:r>
            <w:r>
              <w:rPr>
                <w:rStyle w:val="17"/>
                <w:rFonts w:hint="default"/>
                <w:highlight w:val="none"/>
                <w:lang w:val="en-US" w:eastAsia="zh-CN" w:bidi="ar"/>
              </w:rPr>
              <w:t>能够切实保障教学质量</w:t>
            </w:r>
            <w:r>
              <w:rPr>
                <w:rStyle w:val="17"/>
                <w:rFonts w:hint="default"/>
                <w:highlight w:val="none"/>
                <w:lang w:eastAsia="zh-CN" w:bidi="ar"/>
              </w:rPr>
              <w:t>的，得</w:t>
            </w:r>
            <w:r>
              <w:rPr>
                <w:rStyle w:val="17"/>
                <w:rFonts w:hint="eastAsia"/>
                <w:highlight w:val="none"/>
                <w:lang w:val="en-US" w:eastAsia="zh-CN" w:bidi="ar"/>
              </w:rPr>
              <w:t>30</w:t>
            </w:r>
            <w:r>
              <w:rPr>
                <w:rStyle w:val="17"/>
                <w:rFonts w:hint="default"/>
                <w:highlight w:val="none"/>
                <w:lang w:val="en-US" w:eastAsia="zh-CN" w:bidi="ar"/>
              </w:rPr>
              <w:t>分；</w:t>
            </w:r>
            <w:r>
              <w:rPr>
                <w:rStyle w:val="17"/>
                <w:rFonts w:hint="default"/>
                <w:highlight w:val="none"/>
                <w:lang w:bidi="ar"/>
              </w:rPr>
              <w:t xml:space="preserve">培训课程方案较为简单，但基本能符合项目服务需求的，得 </w:t>
            </w:r>
            <w:r>
              <w:rPr>
                <w:rStyle w:val="17"/>
                <w:rFonts w:hint="eastAsia"/>
                <w:highlight w:val="none"/>
                <w:lang w:val="en-US" w:eastAsia="zh-CN" w:bidi="ar"/>
              </w:rPr>
              <w:t>20</w:t>
            </w:r>
            <w:r>
              <w:rPr>
                <w:rStyle w:val="17"/>
                <w:rFonts w:hint="default"/>
                <w:highlight w:val="none"/>
                <w:lang w:bidi="ar"/>
              </w:rPr>
              <w:t>分；培训课程</w:t>
            </w:r>
            <w:r>
              <w:rPr>
                <w:rStyle w:val="17"/>
                <w:rFonts w:hint="default"/>
                <w:highlight w:val="none"/>
                <w:lang w:eastAsia="zh-CN" w:bidi="ar"/>
              </w:rPr>
              <w:t>方案</w:t>
            </w:r>
            <w:r>
              <w:rPr>
                <w:rStyle w:val="17"/>
                <w:rFonts w:hint="default"/>
                <w:highlight w:val="none"/>
                <w:lang w:bidi="ar"/>
              </w:rPr>
              <w:t>存在缺漏，但不影响项目具体实施的得</w:t>
            </w:r>
            <w:r>
              <w:rPr>
                <w:rStyle w:val="17"/>
                <w:rFonts w:hint="eastAsia"/>
                <w:highlight w:val="none"/>
                <w:lang w:val="en-US" w:eastAsia="zh-CN" w:bidi="ar"/>
              </w:rPr>
              <w:t>10</w:t>
            </w:r>
            <w:r>
              <w:rPr>
                <w:rStyle w:val="17"/>
                <w:rFonts w:hint="default"/>
                <w:highlight w:val="none"/>
                <w:lang w:bidi="ar"/>
              </w:rPr>
              <w:t xml:space="preserve"> 分</w:t>
            </w:r>
            <w:r>
              <w:rPr>
                <w:rStyle w:val="17"/>
                <w:rFonts w:hint="default"/>
                <w:highlight w:val="none"/>
                <w:lang w:eastAsia="zh-CN" w:bidi="ar"/>
              </w:rPr>
              <w:t>，</w:t>
            </w:r>
            <w:r>
              <w:rPr>
                <w:rStyle w:val="17"/>
                <w:rFonts w:hint="default"/>
                <w:highlight w:val="none"/>
                <w:lang w:bidi="ar"/>
              </w:rPr>
              <w:t>未提供方案或者方案不可行或不符合项目需求的不得分。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3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E</w:t>
            </w:r>
          </w:p>
        </w:tc>
        <w:tc>
          <w:tcPr>
            <w:tcW w:w="206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管理制度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993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eastAsiaTheme="minorEastAsia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/>
                <w:highlight w:val="none"/>
                <w:lang w:eastAsia="zh-CN"/>
              </w:rPr>
              <w:t>培训管理制度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完整、合理且最大限度满足招标需求的得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分，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制度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较完整、较合理且基本符合招标需求的得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分，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制度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仅笼统表述或与项目实际情况不符的得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分，其余不得分。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3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F</w:t>
            </w:r>
          </w:p>
        </w:tc>
        <w:tc>
          <w:tcPr>
            <w:tcW w:w="206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投标文件响应要求质量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5</w:t>
            </w:r>
          </w:p>
        </w:tc>
        <w:tc>
          <w:tcPr>
            <w:tcW w:w="993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根据投标人对本项目所有要求的内容的响应程度进行评分：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完全响应且满足招标要求的得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分；每少响应一项或不满足一项扣1分，扣完为止。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13871" w:type="dxa"/>
            <w:gridSpan w:val="4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Style w:val="10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评标总得分=A+B+C+D+E</w:t>
            </w:r>
            <w:r>
              <w:rPr>
                <w:rStyle w:val="10"/>
                <w:rFonts w:hint="eastAsia" w:ascii="宋体" w:hAnsi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+F</w:t>
            </w:r>
          </w:p>
        </w:tc>
      </w:tr>
    </w:tbl>
    <w:p>
      <w:pPr>
        <w:pStyle w:val="2"/>
      </w:pPr>
    </w:p>
    <w:sectPr>
      <w:footerReference r:id="rId3" w:type="default"/>
      <w:pgSz w:w="16838" w:h="11906" w:orient="landscape"/>
      <w:pgMar w:top="1417" w:right="1134" w:bottom="1417" w:left="56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5M2E1ZTQ2M2I1MGNmOGI5YmJkZDRkZjk4M2YyNDEifQ=="/>
  </w:docVars>
  <w:rsids>
    <w:rsidRoot w:val="00433DDF"/>
    <w:rsid w:val="00053E16"/>
    <w:rsid w:val="000705CC"/>
    <w:rsid w:val="00080FA4"/>
    <w:rsid w:val="000837E1"/>
    <w:rsid w:val="000D6F71"/>
    <w:rsid w:val="000E4F1F"/>
    <w:rsid w:val="000E6604"/>
    <w:rsid w:val="0011393F"/>
    <w:rsid w:val="00113D10"/>
    <w:rsid w:val="00120A2F"/>
    <w:rsid w:val="00121B96"/>
    <w:rsid w:val="00155E4E"/>
    <w:rsid w:val="001D6DE5"/>
    <w:rsid w:val="0027288E"/>
    <w:rsid w:val="002810A7"/>
    <w:rsid w:val="002E34EB"/>
    <w:rsid w:val="003B6811"/>
    <w:rsid w:val="003F797F"/>
    <w:rsid w:val="00433DDF"/>
    <w:rsid w:val="004409E7"/>
    <w:rsid w:val="00452906"/>
    <w:rsid w:val="00486B69"/>
    <w:rsid w:val="00495079"/>
    <w:rsid w:val="004A22CE"/>
    <w:rsid w:val="004E5111"/>
    <w:rsid w:val="00503086"/>
    <w:rsid w:val="00531E2F"/>
    <w:rsid w:val="005C136A"/>
    <w:rsid w:val="005F5E66"/>
    <w:rsid w:val="00627E23"/>
    <w:rsid w:val="00660622"/>
    <w:rsid w:val="006F4482"/>
    <w:rsid w:val="0070018B"/>
    <w:rsid w:val="007644B1"/>
    <w:rsid w:val="0078197C"/>
    <w:rsid w:val="0078580D"/>
    <w:rsid w:val="007B5533"/>
    <w:rsid w:val="008201A5"/>
    <w:rsid w:val="00865413"/>
    <w:rsid w:val="00881AC4"/>
    <w:rsid w:val="008D3CB7"/>
    <w:rsid w:val="008F5CAA"/>
    <w:rsid w:val="00955A9A"/>
    <w:rsid w:val="009A1B60"/>
    <w:rsid w:val="009A414C"/>
    <w:rsid w:val="009A74F3"/>
    <w:rsid w:val="009F32F4"/>
    <w:rsid w:val="00A6351C"/>
    <w:rsid w:val="00A74594"/>
    <w:rsid w:val="00A91311"/>
    <w:rsid w:val="00A950B0"/>
    <w:rsid w:val="00AB63A6"/>
    <w:rsid w:val="00B30AD7"/>
    <w:rsid w:val="00BC4520"/>
    <w:rsid w:val="00C41E24"/>
    <w:rsid w:val="00C93A5C"/>
    <w:rsid w:val="00CA5E87"/>
    <w:rsid w:val="00CC305A"/>
    <w:rsid w:val="00CC5DED"/>
    <w:rsid w:val="00CF6301"/>
    <w:rsid w:val="00CF7D07"/>
    <w:rsid w:val="00D10038"/>
    <w:rsid w:val="00D669EF"/>
    <w:rsid w:val="00D87BCD"/>
    <w:rsid w:val="00DD00EE"/>
    <w:rsid w:val="00DD4965"/>
    <w:rsid w:val="00DE7BD4"/>
    <w:rsid w:val="00EC71DC"/>
    <w:rsid w:val="00ED6D9B"/>
    <w:rsid w:val="00EF0850"/>
    <w:rsid w:val="00F007D2"/>
    <w:rsid w:val="00F00F10"/>
    <w:rsid w:val="00F3227E"/>
    <w:rsid w:val="00F5281B"/>
    <w:rsid w:val="00F641FC"/>
    <w:rsid w:val="02E132C9"/>
    <w:rsid w:val="036D2DAF"/>
    <w:rsid w:val="03CA6453"/>
    <w:rsid w:val="05ED01D7"/>
    <w:rsid w:val="06B970A0"/>
    <w:rsid w:val="09077801"/>
    <w:rsid w:val="0A146842"/>
    <w:rsid w:val="0A5357FD"/>
    <w:rsid w:val="0A6767AA"/>
    <w:rsid w:val="0BBA4FB3"/>
    <w:rsid w:val="0C8B4E95"/>
    <w:rsid w:val="0CA84E57"/>
    <w:rsid w:val="115A7068"/>
    <w:rsid w:val="11B147AE"/>
    <w:rsid w:val="125515DD"/>
    <w:rsid w:val="128121BE"/>
    <w:rsid w:val="131E0944"/>
    <w:rsid w:val="154070CE"/>
    <w:rsid w:val="18363C5F"/>
    <w:rsid w:val="18813D8A"/>
    <w:rsid w:val="188624F1"/>
    <w:rsid w:val="197E141A"/>
    <w:rsid w:val="19946E8F"/>
    <w:rsid w:val="1A8A166A"/>
    <w:rsid w:val="1ABC7667"/>
    <w:rsid w:val="1AF23E6D"/>
    <w:rsid w:val="1BB47375"/>
    <w:rsid w:val="1CB03FE0"/>
    <w:rsid w:val="1CEC2B3E"/>
    <w:rsid w:val="2137484A"/>
    <w:rsid w:val="21BC7EF3"/>
    <w:rsid w:val="21EC708C"/>
    <w:rsid w:val="21ED538F"/>
    <w:rsid w:val="22A23C04"/>
    <w:rsid w:val="235002CB"/>
    <w:rsid w:val="249E5066"/>
    <w:rsid w:val="24F15320"/>
    <w:rsid w:val="25872383"/>
    <w:rsid w:val="2612609C"/>
    <w:rsid w:val="273852FE"/>
    <w:rsid w:val="286B34B1"/>
    <w:rsid w:val="28913AA7"/>
    <w:rsid w:val="2C007235"/>
    <w:rsid w:val="2CE2210F"/>
    <w:rsid w:val="2DE06EF3"/>
    <w:rsid w:val="2EDF0755"/>
    <w:rsid w:val="2F1018EA"/>
    <w:rsid w:val="2F974B8C"/>
    <w:rsid w:val="30C73B94"/>
    <w:rsid w:val="31E83DC4"/>
    <w:rsid w:val="335E590D"/>
    <w:rsid w:val="3538471B"/>
    <w:rsid w:val="35906305"/>
    <w:rsid w:val="361B2EC5"/>
    <w:rsid w:val="37FC2378"/>
    <w:rsid w:val="38545D10"/>
    <w:rsid w:val="39071957"/>
    <w:rsid w:val="391D25A6"/>
    <w:rsid w:val="39C72511"/>
    <w:rsid w:val="3A661D2A"/>
    <w:rsid w:val="3AC76C6D"/>
    <w:rsid w:val="3ACA1AEC"/>
    <w:rsid w:val="3C0435A9"/>
    <w:rsid w:val="3D2A6E02"/>
    <w:rsid w:val="3D65451B"/>
    <w:rsid w:val="3DF71617"/>
    <w:rsid w:val="3EB70DA6"/>
    <w:rsid w:val="3ECA5BE7"/>
    <w:rsid w:val="3ED6747E"/>
    <w:rsid w:val="3F1104B7"/>
    <w:rsid w:val="3F3E6BE9"/>
    <w:rsid w:val="3F6F4B43"/>
    <w:rsid w:val="42051E29"/>
    <w:rsid w:val="4304210E"/>
    <w:rsid w:val="43DF5027"/>
    <w:rsid w:val="44132515"/>
    <w:rsid w:val="445D2340"/>
    <w:rsid w:val="446C43E1"/>
    <w:rsid w:val="44CD1324"/>
    <w:rsid w:val="459A664E"/>
    <w:rsid w:val="47DC362C"/>
    <w:rsid w:val="48416E9C"/>
    <w:rsid w:val="48A71E8C"/>
    <w:rsid w:val="491A265E"/>
    <w:rsid w:val="49ED4B92"/>
    <w:rsid w:val="4A054B02"/>
    <w:rsid w:val="4A2F038B"/>
    <w:rsid w:val="4A331C29"/>
    <w:rsid w:val="4B1F03FF"/>
    <w:rsid w:val="4C191367"/>
    <w:rsid w:val="4D453D4B"/>
    <w:rsid w:val="4D4C1682"/>
    <w:rsid w:val="4D785BA5"/>
    <w:rsid w:val="4D7B61BF"/>
    <w:rsid w:val="4DC93976"/>
    <w:rsid w:val="4DE1199C"/>
    <w:rsid w:val="4E6F0D56"/>
    <w:rsid w:val="4FAD422B"/>
    <w:rsid w:val="4FFA6D45"/>
    <w:rsid w:val="50963C2F"/>
    <w:rsid w:val="52512B86"/>
    <w:rsid w:val="52BF6691"/>
    <w:rsid w:val="52E635B0"/>
    <w:rsid w:val="55A75279"/>
    <w:rsid w:val="57865D6A"/>
    <w:rsid w:val="579E0C01"/>
    <w:rsid w:val="585A4825"/>
    <w:rsid w:val="58BF0B2C"/>
    <w:rsid w:val="58D5034F"/>
    <w:rsid w:val="5A841182"/>
    <w:rsid w:val="5B6D2AC1"/>
    <w:rsid w:val="5CB87D6C"/>
    <w:rsid w:val="5D683540"/>
    <w:rsid w:val="5E2704A6"/>
    <w:rsid w:val="5ED03A93"/>
    <w:rsid w:val="6166423A"/>
    <w:rsid w:val="63676048"/>
    <w:rsid w:val="63F54798"/>
    <w:rsid w:val="642503DD"/>
    <w:rsid w:val="65420B1A"/>
    <w:rsid w:val="65817895"/>
    <w:rsid w:val="678E2765"/>
    <w:rsid w:val="68EB0BFA"/>
    <w:rsid w:val="6B056872"/>
    <w:rsid w:val="6CA81900"/>
    <w:rsid w:val="6CBC7404"/>
    <w:rsid w:val="6D611D5A"/>
    <w:rsid w:val="6F280D81"/>
    <w:rsid w:val="718D136F"/>
    <w:rsid w:val="73045661"/>
    <w:rsid w:val="74081181"/>
    <w:rsid w:val="74784559"/>
    <w:rsid w:val="74F216D8"/>
    <w:rsid w:val="7521074C"/>
    <w:rsid w:val="754F7E93"/>
    <w:rsid w:val="794E7636"/>
    <w:rsid w:val="79EE7BFE"/>
    <w:rsid w:val="7A933EDD"/>
    <w:rsid w:val="7C312D33"/>
    <w:rsid w:val="7CA0464C"/>
    <w:rsid w:val="7D0C35F3"/>
    <w:rsid w:val="7D7358BD"/>
    <w:rsid w:val="7DE14F1D"/>
    <w:rsid w:val="7E2E7738"/>
    <w:rsid w:val="7F3E014D"/>
    <w:rsid w:val="7FA501CC"/>
    <w:rsid w:val="7FA51F7A"/>
    <w:rsid w:val="7FB7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autoRedefine/>
    <w:qFormat/>
    <w:uiPriority w:val="99"/>
    <w:rPr>
      <w:sz w:val="18"/>
      <w:szCs w:val="18"/>
    </w:rPr>
  </w:style>
  <w:style w:type="paragraph" w:customStyle="1" w:styleId="16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  <w:style w:type="character" w:customStyle="1" w:styleId="17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1897</Words>
  <Characters>1952</Characters>
  <Lines>14</Lines>
  <Paragraphs>4</Paragraphs>
  <TotalTime>145</TotalTime>
  <ScaleCrop>false</ScaleCrop>
  <LinksUpToDate>false</LinksUpToDate>
  <CharactersWithSpaces>1964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2023-02-11T02:36:00Z</dcterms:created>
  <dc:creator>yang</dc:creator>
  <cp:lastModifiedBy>郑碧菊</cp:lastModifiedBy>
  <cp:lastPrinted>2024-05-29T00:37:00Z</cp:lastPrinted>
  <dcterms:modified xsi:type="dcterms:W3CDTF">2024-06-04T07:03:22Z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3B8B449369874C8589CE9DE7D1A3DCE2</vt:lpwstr>
  </property>
</Properties>
</file>